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6CA5" w14:textId="22B37EF1" w:rsidR="00887895" w:rsidRPr="0071521E" w:rsidRDefault="00887895" w:rsidP="00887895">
      <w:pPr>
        <w:jc w:val="both"/>
        <w:rPr>
          <w:b/>
          <w:bCs/>
          <w:sz w:val="36"/>
          <w:szCs w:val="36"/>
        </w:rPr>
      </w:pPr>
      <w:r w:rsidRPr="0071521E">
        <w:rPr>
          <w:b/>
          <w:bCs/>
          <w:sz w:val="36"/>
          <w:szCs w:val="36"/>
        </w:rPr>
        <w:t xml:space="preserve">URGENT Writeshop </w:t>
      </w:r>
      <w:r w:rsidRPr="0071521E">
        <w:rPr>
          <w:b/>
          <w:bCs/>
          <w:sz w:val="36"/>
          <w:szCs w:val="36"/>
          <w:lang w:val="en-US"/>
        </w:rPr>
        <w:t>in Mongolia</w:t>
      </w:r>
      <w:r w:rsidRPr="0071521E">
        <w:rPr>
          <w:b/>
          <w:bCs/>
          <w:sz w:val="36"/>
          <w:szCs w:val="36"/>
        </w:rPr>
        <w:t xml:space="preserve">, </w:t>
      </w:r>
      <w:r w:rsidRPr="0071521E">
        <w:rPr>
          <w:b/>
          <w:bCs/>
          <w:sz w:val="36"/>
          <w:szCs w:val="36"/>
          <w:lang w:val="en-US"/>
        </w:rPr>
        <w:t>May 3</w:t>
      </w:r>
      <w:r w:rsidRPr="0071521E">
        <w:rPr>
          <w:b/>
          <w:bCs/>
          <w:sz w:val="36"/>
          <w:szCs w:val="36"/>
        </w:rPr>
        <w:t xml:space="preserve"> – </w:t>
      </w:r>
      <w:r w:rsidRPr="0071521E">
        <w:rPr>
          <w:b/>
          <w:bCs/>
          <w:sz w:val="36"/>
          <w:szCs w:val="36"/>
          <w:lang w:val="en-US"/>
        </w:rPr>
        <w:t>16</w:t>
      </w:r>
      <w:r w:rsidRPr="0071521E">
        <w:rPr>
          <w:b/>
          <w:bCs/>
          <w:sz w:val="36"/>
          <w:szCs w:val="36"/>
        </w:rPr>
        <w:t>, 2022</w:t>
      </w:r>
    </w:p>
    <w:p w14:paraId="744BC5EA" w14:textId="77777777" w:rsidR="00887895" w:rsidRPr="00887895" w:rsidRDefault="00887895" w:rsidP="00887895">
      <w:pPr>
        <w:jc w:val="both"/>
      </w:pPr>
    </w:p>
    <w:p w14:paraId="7039CB22" w14:textId="784E70D6" w:rsidR="00887895" w:rsidRPr="00887895" w:rsidRDefault="00887895" w:rsidP="00887895">
      <w:pPr>
        <w:jc w:val="both"/>
      </w:pPr>
      <w:r w:rsidRPr="00887895">
        <w:rPr>
          <w:b/>
          <w:bCs/>
        </w:rPr>
        <w:t>Goal:</w:t>
      </w:r>
      <w:r w:rsidRPr="00887895">
        <w:t xml:space="preserve"> The purpose of the writeshop is to elaborate on the general frame ensuring the consolidation of the URGENT research and research training action, and its sustainability after the end of the project lifetime. The following outputs are expected as a result of the writeshop (and the post-writeshop period)</w:t>
      </w:r>
    </w:p>
    <w:p w14:paraId="7432C558" w14:textId="77777777" w:rsidR="00887895" w:rsidRPr="00887895" w:rsidRDefault="00887895" w:rsidP="00887895">
      <w:pPr>
        <w:jc w:val="both"/>
      </w:pPr>
    </w:p>
    <w:p w14:paraId="4A8BBCC5" w14:textId="00A63D87" w:rsidR="00887895" w:rsidRPr="00226D13" w:rsidRDefault="00226D13" w:rsidP="00B5348F">
      <w:pPr>
        <w:jc w:val="both"/>
        <w:rPr>
          <w:b/>
          <w:bCs/>
          <w:lang w:val="en-US"/>
        </w:rPr>
      </w:pPr>
      <w:r w:rsidRPr="00226D13">
        <w:rPr>
          <w:b/>
          <w:bCs/>
        </w:rPr>
        <w:t xml:space="preserve">The gaps in the expertise related to </w:t>
      </w:r>
      <w:r w:rsidRPr="00226D13">
        <w:rPr>
          <w:b/>
          <w:bCs/>
          <w:lang w:val="en-US"/>
        </w:rPr>
        <w:t xml:space="preserve">URGENT topics </w:t>
      </w:r>
    </w:p>
    <w:p w14:paraId="78D49422" w14:textId="240D19E2" w:rsidR="00226D13" w:rsidRPr="00226D13" w:rsidRDefault="00226D13" w:rsidP="00226D13">
      <w:pPr>
        <w:pStyle w:val="ListParagraph"/>
        <w:numPr>
          <w:ilvl w:val="0"/>
          <w:numId w:val="5"/>
        </w:numPr>
        <w:jc w:val="both"/>
        <w:rPr>
          <w:lang w:val="en-US"/>
        </w:rPr>
      </w:pPr>
      <w:r w:rsidRPr="00226D13">
        <w:rPr>
          <w:lang w:val="en-US"/>
        </w:rPr>
        <w:t>Mongolia does not have an independent law on green space policy. The Law on Green space is necessary to regulate the relations related to the planning,</w:t>
      </w:r>
      <w:r>
        <w:rPr>
          <w:lang w:val="en-US"/>
        </w:rPr>
        <w:t xml:space="preserve"> </w:t>
      </w:r>
      <w:r w:rsidRPr="00226D13">
        <w:rPr>
          <w:lang w:val="en-US"/>
        </w:rPr>
        <w:t>maintenance, protection, rehabilitation and assessment of green space in urban areas. Therefore, it is necessary to learn from the experience of European partners on how to successfully implement the green space legislation</w:t>
      </w:r>
      <w:r>
        <w:rPr>
          <w:lang w:val="en-US"/>
        </w:rPr>
        <w:t xml:space="preserve">. </w:t>
      </w:r>
    </w:p>
    <w:p w14:paraId="0E43D12B" w14:textId="219BBB20" w:rsidR="00226D13" w:rsidRPr="00226D13" w:rsidRDefault="00226D13" w:rsidP="00226D13">
      <w:pPr>
        <w:pStyle w:val="ListParagraph"/>
        <w:numPr>
          <w:ilvl w:val="0"/>
          <w:numId w:val="5"/>
        </w:numPr>
        <w:jc w:val="both"/>
        <w:rPr>
          <w:lang w:val="en-US"/>
        </w:rPr>
      </w:pPr>
      <w:r w:rsidRPr="00226D13">
        <w:rPr>
          <w:lang w:val="en-US"/>
        </w:rPr>
        <w:t>Ulaanbaatar city faces high challenges because of growing urbanization and environmental degradation /air and soil pollution/. And there is a lack of understanding on using urban green spaces planning for urban resilience and livability. Therefore, research is needed to develop a multi-criteria-based classification system /systematization of urban green space/ of green space planning that meets the social and ecological needs of the city</w:t>
      </w:r>
      <w:r>
        <w:rPr>
          <w:lang w:val="en-US"/>
        </w:rPr>
        <w:t xml:space="preserve">. </w:t>
      </w:r>
    </w:p>
    <w:p w14:paraId="7D178EDA" w14:textId="49772A0F" w:rsidR="00226D13" w:rsidRPr="00226D13" w:rsidRDefault="00226D13" w:rsidP="00226D13">
      <w:pPr>
        <w:pStyle w:val="ListParagraph"/>
        <w:numPr>
          <w:ilvl w:val="0"/>
          <w:numId w:val="5"/>
        </w:numPr>
        <w:jc w:val="both"/>
        <w:rPr>
          <w:lang w:val="en-US"/>
        </w:rPr>
      </w:pPr>
      <w:r w:rsidRPr="00226D13">
        <w:rPr>
          <w:lang w:val="en-US"/>
        </w:rPr>
        <w:t>Urban Ecology: Landscape Architectural Planning Services: There are no studies that have identified the multifaceted impact of landscape architecture planning on urban ecology and the healthy and safe lives of its citizens. Therefore, MULS wants to launch a joint doctoral study aimed at proposing optimal landscape architectural planning to reduce the negative impact on the sustainable development of the city, positively influencing the decisions of policymakers, publicizing the research results, and promoting professional values.</w:t>
      </w:r>
      <w:r>
        <w:rPr>
          <w:lang w:val="en-US"/>
        </w:rPr>
        <w:t xml:space="preserve"> </w:t>
      </w:r>
    </w:p>
    <w:p w14:paraId="0BD04572" w14:textId="0F34DC9F" w:rsidR="00226D13" w:rsidRPr="00226D13" w:rsidRDefault="00226D13" w:rsidP="00226D13">
      <w:pPr>
        <w:pStyle w:val="ListParagraph"/>
        <w:numPr>
          <w:ilvl w:val="0"/>
          <w:numId w:val="5"/>
        </w:numPr>
        <w:jc w:val="both"/>
        <w:rPr>
          <w:lang w:val="en-US"/>
        </w:rPr>
      </w:pPr>
      <w:r w:rsidRPr="00226D13">
        <w:rPr>
          <w:lang w:val="en-US"/>
        </w:rPr>
        <w:t>At a time when Mongolia is launching the “Billion Trees” national campaign, the question is where and how to plant a billion trees in an ecologically and economically efficient way. Comprehensive landscape architecture planning is essential for the effective implementation of this national campaign. Therefore, we need good experience and advice on landscape architecture planning in foreign countries</w:t>
      </w:r>
      <w:r>
        <w:rPr>
          <w:lang w:val="en-US"/>
        </w:rPr>
        <w:t xml:space="preserve">. </w:t>
      </w:r>
    </w:p>
    <w:p w14:paraId="0493126D" w14:textId="50D016C3" w:rsidR="00226D13" w:rsidRDefault="00226D13" w:rsidP="00226D13">
      <w:pPr>
        <w:pStyle w:val="ListParagraph"/>
        <w:numPr>
          <w:ilvl w:val="0"/>
          <w:numId w:val="5"/>
        </w:numPr>
        <w:jc w:val="both"/>
        <w:rPr>
          <w:lang w:val="en-US"/>
        </w:rPr>
      </w:pPr>
      <w:r w:rsidRPr="00226D13">
        <w:rPr>
          <w:lang w:val="en-US"/>
        </w:rPr>
        <w:t>Heavy metals and pesticides are dangerous pollutants in the environment and serious problems to human health and agricultural production. In Mongolia, the issue of urban environmental pollution is of great concern, and research study (MSc and PhD thesis) to assess the accumulation of heavy metals and pesticide residues in urban agriculture soils and vegetable crops is very important. It would be very helpful to depth understanding of the bioaccumulation, mechanism of action, and transmission pathways of both toxicants, and their human health harms through transference in the food chain</w:t>
      </w:r>
      <w:r w:rsidR="00D73079">
        <w:rPr>
          <w:lang w:val="en-US"/>
        </w:rPr>
        <w:t xml:space="preserve">. </w:t>
      </w:r>
    </w:p>
    <w:p w14:paraId="5A061DA4" w14:textId="020CB8AF" w:rsidR="009C4B0F" w:rsidRDefault="009C4B0F" w:rsidP="00226D13">
      <w:pPr>
        <w:pStyle w:val="ListParagraph"/>
        <w:numPr>
          <w:ilvl w:val="0"/>
          <w:numId w:val="5"/>
        </w:numPr>
        <w:jc w:val="both"/>
        <w:rPr>
          <w:lang w:val="en-US"/>
        </w:rPr>
      </w:pPr>
      <w:r>
        <w:rPr>
          <w:lang w:val="en-US"/>
        </w:rPr>
        <w:t xml:space="preserve">There is no integrated database of green-blue infrastructure in urban area, research materials are not widely available, no accurate statistical data exist, collaboration between same or similar organizations are week. </w:t>
      </w:r>
    </w:p>
    <w:p w14:paraId="3D15CA72" w14:textId="35742C15" w:rsidR="009C4B0F" w:rsidRDefault="009C4B0F" w:rsidP="00226D13">
      <w:pPr>
        <w:pStyle w:val="ListParagraph"/>
        <w:numPr>
          <w:ilvl w:val="0"/>
          <w:numId w:val="5"/>
        </w:numPr>
        <w:jc w:val="both"/>
        <w:rPr>
          <w:lang w:val="en-US"/>
        </w:rPr>
      </w:pPr>
      <w:r>
        <w:rPr>
          <w:lang w:val="en-US"/>
        </w:rPr>
        <w:t xml:space="preserve">Lack of </w:t>
      </w:r>
      <w:r w:rsidR="005E67AD">
        <w:rPr>
          <w:lang w:val="en-US"/>
        </w:rPr>
        <w:t xml:space="preserve">human capacity who has modern understanding about urban sustainable development, 3D spatial green planning, </w:t>
      </w:r>
      <w:r w:rsidR="001F2DE0">
        <w:rPr>
          <w:lang w:val="en-US"/>
        </w:rPr>
        <w:t>nature-based</w:t>
      </w:r>
      <w:r w:rsidR="005E67AD">
        <w:rPr>
          <w:lang w:val="en-US"/>
        </w:rPr>
        <w:t xml:space="preserve"> solution,</w:t>
      </w:r>
      <w:r w:rsidR="00357AF0">
        <w:rPr>
          <w:lang w:val="en-US"/>
        </w:rPr>
        <w:t xml:space="preserve"> ecological technology, </w:t>
      </w:r>
      <w:r w:rsidR="005E67AD">
        <w:rPr>
          <w:lang w:val="en-US"/>
        </w:rPr>
        <w:t xml:space="preserve">ecological service and disservice. </w:t>
      </w:r>
    </w:p>
    <w:p w14:paraId="2C63E075" w14:textId="02DDE720" w:rsidR="001F2DE0" w:rsidRPr="00D36020" w:rsidRDefault="001F2DE0" w:rsidP="00226D13">
      <w:pPr>
        <w:pStyle w:val="ListParagraph"/>
        <w:numPr>
          <w:ilvl w:val="0"/>
          <w:numId w:val="5"/>
        </w:numPr>
        <w:jc w:val="both"/>
        <w:rPr>
          <w:lang w:val="en-US"/>
        </w:rPr>
      </w:pPr>
      <w:r>
        <w:rPr>
          <w:lang w:val="en-US"/>
        </w:rPr>
        <w:t xml:space="preserve">In small town case such as </w:t>
      </w:r>
      <w:proofErr w:type="spellStart"/>
      <w:r>
        <w:rPr>
          <w:lang w:val="en-US"/>
        </w:rPr>
        <w:t>Khovd</w:t>
      </w:r>
      <w:proofErr w:type="spellEnd"/>
      <w:r>
        <w:rPr>
          <w:lang w:val="en-US"/>
        </w:rPr>
        <w:t xml:space="preserve"> center, knowledge and </w:t>
      </w:r>
      <w:r w:rsidR="007E315F">
        <w:rPr>
          <w:lang w:val="en-US"/>
        </w:rPr>
        <w:t xml:space="preserve">experience of </w:t>
      </w:r>
      <w:r>
        <w:rPr>
          <w:lang w:val="en-US"/>
        </w:rPr>
        <w:t xml:space="preserve">land managers, architectures, urban planners are </w:t>
      </w:r>
      <w:r w:rsidR="007E315F">
        <w:rPr>
          <w:lang w:val="en-US"/>
        </w:rPr>
        <w:t>outdated</w:t>
      </w:r>
      <w:r w:rsidR="007E315F">
        <w:t xml:space="preserve">. </w:t>
      </w:r>
    </w:p>
    <w:p w14:paraId="4B1EE3CA" w14:textId="0F7FD105" w:rsidR="00603E0D" w:rsidRPr="00E019F7" w:rsidRDefault="00603E0D" w:rsidP="00E019F7">
      <w:pPr>
        <w:pStyle w:val="ListParagraph"/>
        <w:numPr>
          <w:ilvl w:val="0"/>
          <w:numId w:val="5"/>
        </w:numPr>
        <w:jc w:val="both"/>
        <w:rPr>
          <w:lang w:val="en-US"/>
        </w:rPr>
      </w:pPr>
      <w:r>
        <w:rPr>
          <w:lang w:val="en-US"/>
        </w:rPr>
        <w:t xml:space="preserve">University curriculums for land managers, urban planners, land cadastral are based on geographical science. They need to have spatial engineering knowledge. </w:t>
      </w:r>
    </w:p>
    <w:p w14:paraId="4296E752" w14:textId="317424F7" w:rsidR="00226D13" w:rsidRDefault="00226D13" w:rsidP="00B5348F">
      <w:pPr>
        <w:jc w:val="both"/>
      </w:pPr>
    </w:p>
    <w:p w14:paraId="611BE363" w14:textId="77777777" w:rsidR="00D66052" w:rsidRDefault="00D66052">
      <w:pPr>
        <w:rPr>
          <w:b/>
          <w:bCs/>
        </w:rPr>
      </w:pPr>
      <w:r>
        <w:rPr>
          <w:b/>
          <w:bCs/>
        </w:rPr>
        <w:br w:type="page"/>
      </w:r>
    </w:p>
    <w:p w14:paraId="4DC48E66" w14:textId="616454F3" w:rsidR="00226D13" w:rsidRPr="006875B0" w:rsidRDefault="00226D13" w:rsidP="00226D13">
      <w:pPr>
        <w:jc w:val="both"/>
        <w:rPr>
          <w:b/>
          <w:bCs/>
        </w:rPr>
      </w:pPr>
      <w:r w:rsidRPr="006875B0">
        <w:rPr>
          <w:b/>
          <w:bCs/>
        </w:rPr>
        <w:lastRenderedPageBreak/>
        <w:t>Knowledge gap:</w:t>
      </w:r>
    </w:p>
    <w:p w14:paraId="0897AFFB" w14:textId="171A275A" w:rsidR="00226D13" w:rsidRPr="00D66052" w:rsidRDefault="00226D13" w:rsidP="00226D13">
      <w:pPr>
        <w:jc w:val="both"/>
        <w:rPr>
          <w:lang w:val="en-US"/>
        </w:rPr>
      </w:pPr>
      <w:r>
        <w:t>Lack of knowledge and experience in adapting to urban climate change, planning and availability of green and blue facilities, location appropriateness,</w:t>
      </w:r>
      <w:r w:rsidR="002924C3">
        <w:rPr>
          <w:lang w:val="en-US"/>
        </w:rPr>
        <w:t xml:space="preserve"> </w:t>
      </w:r>
      <w:r>
        <w:t>environmentally friendly solutions</w:t>
      </w:r>
      <w:r w:rsidR="00D66052">
        <w:rPr>
          <w:lang w:val="en-US"/>
        </w:rPr>
        <w:t xml:space="preserve"> and spatial suitability analysis for green-blue infrastructure. </w:t>
      </w:r>
    </w:p>
    <w:p w14:paraId="3E46EA41" w14:textId="77777777" w:rsidR="00226D13" w:rsidRPr="00D73079" w:rsidRDefault="00226D13" w:rsidP="00226D13">
      <w:pPr>
        <w:pStyle w:val="ListParagraph"/>
        <w:numPr>
          <w:ilvl w:val="0"/>
          <w:numId w:val="3"/>
        </w:numPr>
        <w:jc w:val="both"/>
      </w:pPr>
      <w:r w:rsidRPr="00D73079">
        <w:rPr>
          <w:lang w:val="en-US"/>
        </w:rPr>
        <w:t>Guideline and l</w:t>
      </w:r>
      <w:r w:rsidRPr="00D73079">
        <w:t>egal environment: Classification and legal issues of urban green space planning</w:t>
      </w:r>
      <w:r w:rsidRPr="00D73079">
        <w:rPr>
          <w:lang w:val="en-US"/>
        </w:rPr>
        <w:t>;</w:t>
      </w:r>
    </w:p>
    <w:p w14:paraId="419590B0" w14:textId="77777777" w:rsidR="00226D13" w:rsidRPr="00D73079" w:rsidRDefault="00226D13" w:rsidP="00226D13">
      <w:pPr>
        <w:pStyle w:val="ListParagraph"/>
        <w:numPr>
          <w:ilvl w:val="0"/>
          <w:numId w:val="3"/>
        </w:numPr>
        <w:jc w:val="both"/>
      </w:pPr>
      <w:r w:rsidRPr="00D73079">
        <w:t>Urban Ecology: Landscape Architectural Planning Services</w:t>
      </w:r>
      <w:r w:rsidRPr="00D73079">
        <w:rPr>
          <w:lang w:val="en-US"/>
        </w:rPr>
        <w:t>;</w:t>
      </w:r>
    </w:p>
    <w:p w14:paraId="21DC77F2" w14:textId="77777777" w:rsidR="00226D13" w:rsidRPr="00D73079" w:rsidRDefault="00226D13" w:rsidP="00226D13">
      <w:pPr>
        <w:pStyle w:val="ListParagraph"/>
        <w:numPr>
          <w:ilvl w:val="0"/>
          <w:numId w:val="3"/>
        </w:numPr>
        <w:jc w:val="both"/>
      </w:pPr>
      <w:r w:rsidRPr="00D73079">
        <w:t>Landscape architecture: National Campaign to Plant One Billion Trees</w:t>
      </w:r>
      <w:r w:rsidRPr="00D73079">
        <w:rPr>
          <w:lang w:val="en-US"/>
        </w:rPr>
        <w:t>;</w:t>
      </w:r>
    </w:p>
    <w:p w14:paraId="21F247BF" w14:textId="7C87C33E" w:rsidR="00226D13" w:rsidRPr="00887994" w:rsidRDefault="00226D13" w:rsidP="00226D13">
      <w:pPr>
        <w:pStyle w:val="ListParagraph"/>
        <w:numPr>
          <w:ilvl w:val="0"/>
          <w:numId w:val="3"/>
        </w:numPr>
        <w:jc w:val="both"/>
      </w:pPr>
      <w:r w:rsidRPr="00D73079">
        <w:t>Urban</w:t>
      </w:r>
      <w:r w:rsidRPr="00D73079">
        <w:rPr>
          <w:lang w:val="en-US"/>
        </w:rPr>
        <w:t>-</w:t>
      </w:r>
      <w:r w:rsidRPr="00D73079">
        <w:t>Agriculture: air/soil pollution and food quality and safety issues</w:t>
      </w:r>
      <w:r w:rsidRPr="00D73079">
        <w:rPr>
          <w:lang w:val="en-US"/>
        </w:rPr>
        <w:t>;</w:t>
      </w:r>
    </w:p>
    <w:p w14:paraId="7F5A0AF2" w14:textId="58DEE667" w:rsidR="00887994" w:rsidRPr="00D73079" w:rsidRDefault="00887994" w:rsidP="00226D13">
      <w:pPr>
        <w:pStyle w:val="ListParagraph"/>
        <w:numPr>
          <w:ilvl w:val="0"/>
          <w:numId w:val="3"/>
        </w:numPr>
        <w:jc w:val="both"/>
      </w:pPr>
      <w:r>
        <w:rPr>
          <w:lang w:val="en-US"/>
        </w:rPr>
        <w:t xml:space="preserve">Terminology understanding: </w:t>
      </w:r>
      <w:r w:rsidRPr="00887994">
        <w:rPr>
          <w:lang w:val="en-US"/>
        </w:rPr>
        <w:t>urban sustainable development, 3D spatial green planning, nature-based solution, ecological technology, ecological service and disservice</w:t>
      </w:r>
      <w:r>
        <w:rPr>
          <w:lang w:val="en-US"/>
        </w:rPr>
        <w:t xml:space="preserve"> </w:t>
      </w:r>
    </w:p>
    <w:p w14:paraId="66B73324" w14:textId="77777777" w:rsidR="00226D13" w:rsidRDefault="00226D13" w:rsidP="00226D13">
      <w:pPr>
        <w:pStyle w:val="ListParagraph"/>
        <w:ind w:left="0"/>
        <w:jc w:val="both"/>
        <w:rPr>
          <w:b/>
          <w:bCs/>
        </w:rPr>
      </w:pPr>
    </w:p>
    <w:p w14:paraId="1D31D43B" w14:textId="77777777" w:rsidR="00226D13" w:rsidRPr="00196EC3" w:rsidRDefault="00226D13" w:rsidP="00226D13">
      <w:pPr>
        <w:pStyle w:val="ListParagraph"/>
        <w:ind w:left="0"/>
        <w:jc w:val="both"/>
        <w:rPr>
          <w:b/>
          <w:bCs/>
        </w:rPr>
      </w:pPr>
      <w:r w:rsidRPr="00196EC3">
        <w:rPr>
          <w:b/>
          <w:bCs/>
        </w:rPr>
        <w:t>Doctoral and master's research topics:</w:t>
      </w:r>
    </w:p>
    <w:p w14:paraId="1BA7A158" w14:textId="77777777" w:rsidR="00226D13" w:rsidRDefault="00226D13" w:rsidP="00226D13">
      <w:pPr>
        <w:pStyle w:val="ListParagraph"/>
        <w:numPr>
          <w:ilvl w:val="0"/>
          <w:numId w:val="4"/>
        </w:numPr>
        <w:ind w:left="720"/>
        <w:jc w:val="both"/>
      </w:pPr>
      <w:r>
        <w:rPr>
          <w:lang w:val="en-US"/>
        </w:rPr>
        <w:t>U</w:t>
      </w:r>
      <w:r>
        <w:t xml:space="preserve">rban green space </w:t>
      </w:r>
      <w:r>
        <w:rPr>
          <w:lang w:val="en-US"/>
        </w:rPr>
        <w:t>c</w:t>
      </w:r>
      <w:r>
        <w:t xml:space="preserve">lassification </w:t>
      </w:r>
      <w:r>
        <w:rPr>
          <w:lang w:val="en-US"/>
        </w:rPr>
        <w:t xml:space="preserve">and </w:t>
      </w:r>
      <w:r w:rsidRPr="00A1705B">
        <w:t>systematization</w:t>
      </w:r>
    </w:p>
    <w:p w14:paraId="08E57282" w14:textId="77777777" w:rsidR="00226D13" w:rsidRDefault="00226D13" w:rsidP="00226D13">
      <w:pPr>
        <w:pStyle w:val="ListParagraph"/>
        <w:numPr>
          <w:ilvl w:val="0"/>
          <w:numId w:val="4"/>
        </w:numPr>
        <w:ind w:left="720"/>
        <w:jc w:val="both"/>
      </w:pPr>
      <w:r>
        <w:t>Urban Ecology: Landscape Architectural Planning Services</w:t>
      </w:r>
    </w:p>
    <w:p w14:paraId="656687EB" w14:textId="77777777" w:rsidR="00226D13" w:rsidRDefault="00226D13" w:rsidP="00226D13">
      <w:pPr>
        <w:pStyle w:val="ListParagraph"/>
        <w:numPr>
          <w:ilvl w:val="0"/>
          <w:numId w:val="4"/>
        </w:numPr>
        <w:ind w:left="720"/>
        <w:jc w:val="both"/>
      </w:pPr>
      <w:r w:rsidRPr="004F2EBC">
        <w:t>Billion Tree National Compa</w:t>
      </w:r>
      <w:proofErr w:type="spellStart"/>
      <w:r>
        <w:rPr>
          <w:lang w:val="en-US"/>
        </w:rPr>
        <w:t>ign</w:t>
      </w:r>
      <w:proofErr w:type="spellEnd"/>
      <w:r w:rsidRPr="004F2EBC">
        <w:t xml:space="preserve"> and effective landscape </w:t>
      </w:r>
      <w:r>
        <w:rPr>
          <w:lang w:val="en-US"/>
        </w:rPr>
        <w:t xml:space="preserve">architecture </w:t>
      </w:r>
      <w:r w:rsidRPr="004F2EBC">
        <w:t>planning</w:t>
      </w:r>
    </w:p>
    <w:p w14:paraId="29792008" w14:textId="11051D19" w:rsidR="00226D13" w:rsidRPr="000F7550" w:rsidRDefault="00226D13" w:rsidP="00226D13">
      <w:pPr>
        <w:pStyle w:val="ListParagraph"/>
        <w:numPr>
          <w:ilvl w:val="0"/>
          <w:numId w:val="4"/>
        </w:numPr>
        <w:ind w:left="720"/>
        <w:jc w:val="both"/>
      </w:pPr>
      <w:r w:rsidRPr="004F2EBC">
        <w:t xml:space="preserve">Heavy </w:t>
      </w:r>
      <w:r>
        <w:rPr>
          <w:lang w:val="en-US"/>
        </w:rPr>
        <w:t>m</w:t>
      </w:r>
      <w:r w:rsidRPr="004F2EBC">
        <w:t xml:space="preserve">etals and </w:t>
      </w:r>
      <w:r>
        <w:rPr>
          <w:lang w:val="en-US"/>
        </w:rPr>
        <w:t>p</w:t>
      </w:r>
      <w:r w:rsidRPr="004F2EBC">
        <w:t xml:space="preserve">esticides </w:t>
      </w:r>
      <w:r>
        <w:rPr>
          <w:lang w:val="en-US"/>
        </w:rPr>
        <w:t>t</w:t>
      </w:r>
      <w:r w:rsidRPr="004F2EBC">
        <w:t xml:space="preserve">oxicity in </w:t>
      </w:r>
      <w:r>
        <w:rPr>
          <w:lang w:val="en-US"/>
        </w:rPr>
        <w:t>urban a</w:t>
      </w:r>
      <w:r w:rsidRPr="004F2EBC">
        <w:t xml:space="preserve">gricultural </w:t>
      </w:r>
      <w:r>
        <w:rPr>
          <w:lang w:val="en-US"/>
        </w:rPr>
        <w:t>s</w:t>
      </w:r>
      <w:r w:rsidRPr="004F2EBC">
        <w:t xml:space="preserve">oil and </w:t>
      </w:r>
      <w:r>
        <w:rPr>
          <w:lang w:val="en-US"/>
        </w:rPr>
        <w:t>p</w:t>
      </w:r>
      <w:r w:rsidRPr="004F2EBC">
        <w:t>lants</w:t>
      </w:r>
      <w:r w:rsidR="000F7550">
        <w:rPr>
          <w:lang w:val="en-US"/>
        </w:rPr>
        <w:t xml:space="preserve"> </w:t>
      </w:r>
    </w:p>
    <w:p w14:paraId="3803D321" w14:textId="4D44725C" w:rsidR="00887895" w:rsidRPr="00887895" w:rsidRDefault="000F7550" w:rsidP="00B5348F">
      <w:pPr>
        <w:pStyle w:val="ListParagraph"/>
        <w:numPr>
          <w:ilvl w:val="0"/>
          <w:numId w:val="4"/>
        </w:numPr>
        <w:ind w:left="720"/>
        <w:jc w:val="both"/>
      </w:pPr>
      <w:r w:rsidRPr="000F7550">
        <w:rPr>
          <w:lang w:val="en-US"/>
        </w:rPr>
        <w:t xml:space="preserve">Ecosystem service and disservice in urban environment </w:t>
      </w:r>
    </w:p>
    <w:p w14:paraId="4CC420C3" w14:textId="77777777" w:rsidR="00887895" w:rsidRPr="00887895" w:rsidRDefault="00887895" w:rsidP="00B5348F">
      <w:pPr>
        <w:jc w:val="both"/>
      </w:pPr>
    </w:p>
    <w:p w14:paraId="0200DCEE" w14:textId="77777777" w:rsidR="00480579" w:rsidRPr="00A7416C" w:rsidRDefault="00480579" w:rsidP="00480579">
      <w:pPr>
        <w:jc w:val="both"/>
        <w:rPr>
          <w:b/>
          <w:bCs/>
        </w:rPr>
      </w:pPr>
      <w:r w:rsidRPr="00A7416C">
        <w:rPr>
          <w:b/>
          <w:bCs/>
        </w:rPr>
        <w:t>Challenges</w:t>
      </w:r>
      <w:r>
        <w:rPr>
          <w:b/>
          <w:bCs/>
        </w:rPr>
        <w:t xml:space="preserve"> </w:t>
      </w:r>
      <w:r w:rsidRPr="00A7416C">
        <w:rPr>
          <w:b/>
          <w:bCs/>
        </w:rPr>
        <w:t>/</w:t>
      </w:r>
      <w:r>
        <w:rPr>
          <w:b/>
          <w:bCs/>
        </w:rPr>
        <w:t xml:space="preserve"> </w:t>
      </w:r>
      <w:r w:rsidRPr="00A7416C">
        <w:rPr>
          <w:b/>
          <w:bCs/>
        </w:rPr>
        <w:t>gaps</w:t>
      </w:r>
      <w:r>
        <w:rPr>
          <w:b/>
          <w:bCs/>
        </w:rPr>
        <w:t xml:space="preserve"> </w:t>
      </w:r>
      <w:r w:rsidRPr="00A7416C">
        <w:rPr>
          <w:b/>
          <w:bCs/>
        </w:rPr>
        <w:t>/</w:t>
      </w:r>
      <w:r>
        <w:rPr>
          <w:b/>
          <w:bCs/>
        </w:rPr>
        <w:t xml:space="preserve"> specific </w:t>
      </w:r>
      <w:r w:rsidRPr="00A7416C">
        <w:rPr>
          <w:b/>
          <w:bCs/>
        </w:rPr>
        <w:t>requests</w:t>
      </w:r>
    </w:p>
    <w:p w14:paraId="7628533A" w14:textId="77777777" w:rsidR="00480579" w:rsidRDefault="00480579" w:rsidP="00480579">
      <w:r>
        <w:t xml:space="preserve">This specific challenges and requests can be addressed by the following means: </w:t>
      </w:r>
    </w:p>
    <w:p w14:paraId="040DBDD4" w14:textId="77777777" w:rsidR="00480579" w:rsidRPr="00480579" w:rsidRDefault="00480579" w:rsidP="00480579">
      <w:pPr>
        <w:pStyle w:val="ListParagraph"/>
        <w:numPr>
          <w:ilvl w:val="0"/>
          <w:numId w:val="5"/>
        </w:numPr>
        <w:jc w:val="both"/>
        <w:rPr>
          <w:lang w:val="en-US"/>
        </w:rPr>
      </w:pPr>
      <w:r w:rsidRPr="00480579">
        <w:rPr>
          <w:lang w:val="en-US"/>
        </w:rPr>
        <w:t>direct requests to the experts from EU partners;</w:t>
      </w:r>
    </w:p>
    <w:p w14:paraId="1E382BD5" w14:textId="77777777" w:rsidR="00480579" w:rsidRPr="00480579" w:rsidRDefault="00480579" w:rsidP="00480579">
      <w:pPr>
        <w:pStyle w:val="ListParagraph"/>
        <w:numPr>
          <w:ilvl w:val="0"/>
          <w:numId w:val="5"/>
        </w:numPr>
        <w:jc w:val="both"/>
        <w:rPr>
          <w:lang w:val="en-US"/>
        </w:rPr>
      </w:pPr>
      <w:r w:rsidRPr="00480579">
        <w:rPr>
          <w:lang w:val="en-US"/>
        </w:rPr>
        <w:t>short visits by EU/IN students or staff to/from the EU with purposes of e.g. developing teaching and learning materials, thesis chapters and publications, relevant project proposals;</w:t>
      </w:r>
    </w:p>
    <w:p w14:paraId="07B33B91" w14:textId="07B83793" w:rsidR="00480579" w:rsidRDefault="00480579" w:rsidP="00B5348F">
      <w:pPr>
        <w:pStyle w:val="ListParagraph"/>
        <w:numPr>
          <w:ilvl w:val="0"/>
          <w:numId w:val="5"/>
        </w:numPr>
        <w:jc w:val="both"/>
      </w:pPr>
      <w:r w:rsidRPr="00480579">
        <w:rPr>
          <w:lang w:val="en-US"/>
        </w:rPr>
        <w:t>co-supervision of PhD and/or MSc students.</w:t>
      </w:r>
      <w:r>
        <w:rPr>
          <w:lang w:val="en-US"/>
        </w:rPr>
        <w:t xml:space="preserve"> </w:t>
      </w:r>
    </w:p>
    <w:tbl>
      <w:tblPr>
        <w:tblStyle w:val="TableGrid"/>
        <w:tblW w:w="10316" w:type="dxa"/>
        <w:jc w:val="center"/>
        <w:tblCellMar>
          <w:left w:w="28" w:type="dxa"/>
          <w:right w:w="28" w:type="dxa"/>
        </w:tblCellMar>
        <w:tblLook w:val="04A0" w:firstRow="1" w:lastRow="0" w:firstColumn="1" w:lastColumn="0" w:noHBand="0" w:noVBand="1"/>
      </w:tblPr>
      <w:tblGrid>
        <w:gridCol w:w="1362"/>
        <w:gridCol w:w="2035"/>
        <w:gridCol w:w="1843"/>
        <w:gridCol w:w="1309"/>
        <w:gridCol w:w="1577"/>
        <w:gridCol w:w="1221"/>
        <w:gridCol w:w="969"/>
      </w:tblGrid>
      <w:tr w:rsidR="00BF47A8" w:rsidRPr="006A1E57" w14:paraId="3118F4C8" w14:textId="3AB81294" w:rsidTr="00A73432">
        <w:trPr>
          <w:jc w:val="center"/>
        </w:trPr>
        <w:tc>
          <w:tcPr>
            <w:tcW w:w="1362" w:type="dxa"/>
            <w:shd w:val="clear" w:color="auto" w:fill="D9D9D9" w:themeFill="background1" w:themeFillShade="D9"/>
            <w:vAlign w:val="center"/>
          </w:tcPr>
          <w:p w14:paraId="52F50BF1" w14:textId="6BE3DACA" w:rsidR="00044111" w:rsidRPr="006A1E57" w:rsidRDefault="00044111" w:rsidP="00A30910">
            <w:pPr>
              <w:jc w:val="center"/>
              <w:rPr>
                <w:rFonts w:cs="Times New Roman"/>
                <w:sz w:val="20"/>
                <w:szCs w:val="20"/>
              </w:rPr>
            </w:pPr>
            <w:r w:rsidRPr="006A1E57">
              <w:rPr>
                <w:rFonts w:cs="Times New Roman"/>
                <w:sz w:val="20"/>
                <w:szCs w:val="20"/>
              </w:rPr>
              <w:t>Topic</w:t>
            </w:r>
          </w:p>
        </w:tc>
        <w:tc>
          <w:tcPr>
            <w:tcW w:w="2035" w:type="dxa"/>
            <w:shd w:val="clear" w:color="auto" w:fill="D9D9D9" w:themeFill="background1" w:themeFillShade="D9"/>
            <w:vAlign w:val="center"/>
          </w:tcPr>
          <w:p w14:paraId="1DD80ED2" w14:textId="47A65C1A" w:rsidR="00044111" w:rsidRPr="006A1E57" w:rsidRDefault="00044111" w:rsidP="00A30910">
            <w:pPr>
              <w:jc w:val="center"/>
              <w:rPr>
                <w:rFonts w:cs="Times New Roman"/>
                <w:sz w:val="20"/>
                <w:szCs w:val="20"/>
              </w:rPr>
            </w:pPr>
            <w:r w:rsidRPr="006A1E57">
              <w:rPr>
                <w:rFonts w:cs="Times New Roman"/>
                <w:sz w:val="20"/>
                <w:szCs w:val="20"/>
              </w:rPr>
              <w:t>Challenges</w:t>
            </w:r>
          </w:p>
        </w:tc>
        <w:tc>
          <w:tcPr>
            <w:tcW w:w="1843" w:type="dxa"/>
            <w:shd w:val="clear" w:color="auto" w:fill="D9D9D9" w:themeFill="background1" w:themeFillShade="D9"/>
            <w:vAlign w:val="center"/>
          </w:tcPr>
          <w:p w14:paraId="04BD41D8" w14:textId="480F8F93" w:rsidR="00044111" w:rsidRPr="006A1E57" w:rsidRDefault="00044111" w:rsidP="00A30910">
            <w:pPr>
              <w:jc w:val="center"/>
              <w:rPr>
                <w:rFonts w:cs="Times New Roman"/>
                <w:sz w:val="20"/>
                <w:szCs w:val="20"/>
              </w:rPr>
            </w:pPr>
            <w:r w:rsidRPr="006A1E57">
              <w:rPr>
                <w:rFonts w:cs="Times New Roman"/>
                <w:sz w:val="20"/>
                <w:szCs w:val="20"/>
              </w:rPr>
              <w:t>Gaps</w:t>
            </w:r>
          </w:p>
        </w:tc>
        <w:tc>
          <w:tcPr>
            <w:tcW w:w="1309" w:type="dxa"/>
            <w:shd w:val="clear" w:color="auto" w:fill="D9D9D9" w:themeFill="background1" w:themeFillShade="D9"/>
            <w:vAlign w:val="center"/>
          </w:tcPr>
          <w:p w14:paraId="6B93ADBE" w14:textId="45248C7B" w:rsidR="00044111" w:rsidRPr="006A1E57" w:rsidRDefault="00044111" w:rsidP="00A30910">
            <w:pPr>
              <w:jc w:val="center"/>
              <w:rPr>
                <w:rFonts w:cs="Times New Roman"/>
                <w:sz w:val="20"/>
                <w:szCs w:val="20"/>
                <w:lang w:val="en-US"/>
              </w:rPr>
            </w:pPr>
            <w:r w:rsidRPr="006A1E57">
              <w:rPr>
                <w:rFonts w:cs="Times New Roman"/>
                <w:sz w:val="20"/>
                <w:szCs w:val="20"/>
              </w:rPr>
              <w:t>Requests</w:t>
            </w:r>
            <w:r w:rsidRPr="006A1E57">
              <w:rPr>
                <w:rFonts w:cs="Times New Roman"/>
                <w:sz w:val="20"/>
                <w:szCs w:val="20"/>
                <w:lang w:val="en-US"/>
              </w:rPr>
              <w:t xml:space="preserve"> </w:t>
            </w:r>
          </w:p>
        </w:tc>
        <w:tc>
          <w:tcPr>
            <w:tcW w:w="1577" w:type="dxa"/>
            <w:shd w:val="clear" w:color="auto" w:fill="D9D9D9" w:themeFill="background1" w:themeFillShade="D9"/>
            <w:vAlign w:val="center"/>
          </w:tcPr>
          <w:p w14:paraId="2D66AB29" w14:textId="77777777" w:rsidR="00D73079" w:rsidRPr="006A1E57" w:rsidRDefault="00A30910" w:rsidP="00A30910">
            <w:pPr>
              <w:jc w:val="center"/>
              <w:rPr>
                <w:rFonts w:cs="Times New Roman"/>
                <w:sz w:val="20"/>
                <w:szCs w:val="20"/>
                <w:lang w:val="en-US"/>
              </w:rPr>
            </w:pPr>
            <w:r w:rsidRPr="006A1E57">
              <w:rPr>
                <w:rFonts w:cs="Times New Roman"/>
                <w:sz w:val="20"/>
                <w:szCs w:val="20"/>
                <w:lang w:val="en-US"/>
              </w:rPr>
              <w:t>URGENT</w:t>
            </w:r>
          </w:p>
          <w:p w14:paraId="1B7D4DA8" w14:textId="69C7A2B4" w:rsidR="00A30910" w:rsidRPr="006A1E57" w:rsidRDefault="00D73079" w:rsidP="00A30910">
            <w:pPr>
              <w:jc w:val="center"/>
              <w:rPr>
                <w:rFonts w:cs="Times New Roman"/>
                <w:sz w:val="20"/>
                <w:szCs w:val="20"/>
              </w:rPr>
            </w:pPr>
            <w:r w:rsidRPr="006A1E57">
              <w:rPr>
                <w:rFonts w:cs="Times New Roman"/>
                <w:sz w:val="20"/>
                <w:szCs w:val="20"/>
                <w:lang w:val="en-US"/>
              </w:rPr>
              <w:t>WP</w:t>
            </w:r>
          </w:p>
        </w:tc>
        <w:tc>
          <w:tcPr>
            <w:tcW w:w="1221" w:type="dxa"/>
            <w:shd w:val="clear" w:color="auto" w:fill="D9D9D9" w:themeFill="background1" w:themeFillShade="D9"/>
            <w:vAlign w:val="center"/>
          </w:tcPr>
          <w:p w14:paraId="176F4FF3" w14:textId="49B469D3" w:rsidR="00A30910" w:rsidRPr="006A1E57" w:rsidRDefault="00D73079" w:rsidP="00A30910">
            <w:pPr>
              <w:jc w:val="center"/>
              <w:rPr>
                <w:rFonts w:cs="Times New Roman"/>
                <w:sz w:val="20"/>
                <w:szCs w:val="20"/>
              </w:rPr>
            </w:pPr>
            <w:r w:rsidRPr="006A1E57">
              <w:rPr>
                <w:rFonts w:cs="Times New Roman"/>
                <w:sz w:val="20"/>
                <w:szCs w:val="20"/>
                <w:lang w:val="en-US"/>
              </w:rPr>
              <w:t>Mongolian partners</w:t>
            </w:r>
          </w:p>
        </w:tc>
        <w:tc>
          <w:tcPr>
            <w:tcW w:w="969" w:type="dxa"/>
            <w:shd w:val="clear" w:color="auto" w:fill="D9D9D9" w:themeFill="background1" w:themeFillShade="D9"/>
            <w:vAlign w:val="center"/>
          </w:tcPr>
          <w:p w14:paraId="42AD8551" w14:textId="0A55773F" w:rsidR="00A30910" w:rsidRPr="006A1E57" w:rsidRDefault="00D73079" w:rsidP="00A30910">
            <w:pPr>
              <w:jc w:val="center"/>
              <w:rPr>
                <w:rFonts w:cs="Times New Roman"/>
                <w:sz w:val="20"/>
                <w:szCs w:val="20"/>
              </w:rPr>
            </w:pPr>
            <w:r w:rsidRPr="006A1E57">
              <w:rPr>
                <w:rFonts w:cs="Times New Roman"/>
                <w:sz w:val="20"/>
                <w:szCs w:val="20"/>
                <w:lang w:val="en-US"/>
              </w:rPr>
              <w:t>European partners</w:t>
            </w:r>
          </w:p>
        </w:tc>
      </w:tr>
      <w:tr w:rsidR="00A73432" w:rsidRPr="006A1E57" w14:paraId="42051E2A" w14:textId="15E04E31" w:rsidTr="00A73432">
        <w:trPr>
          <w:jc w:val="center"/>
        </w:trPr>
        <w:tc>
          <w:tcPr>
            <w:tcW w:w="1362" w:type="dxa"/>
            <w:vAlign w:val="center"/>
          </w:tcPr>
          <w:p w14:paraId="75EF7390" w14:textId="77777777" w:rsidR="00D73079" w:rsidRPr="006A1E57" w:rsidRDefault="00D73079" w:rsidP="00D73079">
            <w:pPr>
              <w:pStyle w:val="ListParagraph"/>
              <w:ind w:left="60"/>
              <w:jc w:val="center"/>
              <w:rPr>
                <w:rFonts w:cs="Times New Roman"/>
                <w:sz w:val="20"/>
                <w:szCs w:val="20"/>
              </w:rPr>
            </w:pPr>
            <w:r w:rsidRPr="006A1E57">
              <w:rPr>
                <w:rFonts w:cs="Times New Roman"/>
                <w:sz w:val="20"/>
                <w:szCs w:val="20"/>
                <w:lang w:val="en-US"/>
              </w:rPr>
              <w:t>Guideline and l</w:t>
            </w:r>
            <w:r w:rsidRPr="006A1E57">
              <w:rPr>
                <w:rFonts w:cs="Times New Roman"/>
                <w:sz w:val="20"/>
                <w:szCs w:val="20"/>
              </w:rPr>
              <w:t>egal environment</w:t>
            </w:r>
            <w:r w:rsidRPr="006A1E57">
              <w:rPr>
                <w:rFonts w:cs="Times New Roman"/>
                <w:sz w:val="20"/>
                <w:szCs w:val="20"/>
                <w:lang w:val="en-US"/>
              </w:rPr>
              <w:t>: U</w:t>
            </w:r>
            <w:r w:rsidRPr="006A1E57">
              <w:rPr>
                <w:rFonts w:cs="Times New Roman"/>
                <w:sz w:val="20"/>
                <w:szCs w:val="20"/>
              </w:rPr>
              <w:t xml:space="preserve">rban green space </w:t>
            </w:r>
            <w:r w:rsidRPr="006A1E57">
              <w:rPr>
                <w:rFonts w:cs="Times New Roman"/>
                <w:sz w:val="20"/>
                <w:szCs w:val="20"/>
                <w:lang w:val="en-US"/>
              </w:rPr>
              <w:t>c</w:t>
            </w:r>
            <w:r w:rsidRPr="006A1E57">
              <w:rPr>
                <w:rFonts w:cs="Times New Roman"/>
                <w:sz w:val="20"/>
                <w:szCs w:val="20"/>
              </w:rPr>
              <w:t xml:space="preserve">lassification </w:t>
            </w:r>
            <w:r w:rsidRPr="006A1E57">
              <w:rPr>
                <w:rFonts w:cs="Times New Roman"/>
                <w:sz w:val="20"/>
                <w:szCs w:val="20"/>
                <w:lang w:val="en-US"/>
              </w:rPr>
              <w:t xml:space="preserve">and </w:t>
            </w:r>
            <w:r w:rsidRPr="006A1E57">
              <w:rPr>
                <w:rFonts w:cs="Times New Roman"/>
                <w:sz w:val="20"/>
                <w:szCs w:val="20"/>
              </w:rPr>
              <w:t>systematization</w:t>
            </w:r>
          </w:p>
          <w:p w14:paraId="257372D3" w14:textId="77777777" w:rsidR="00D73079" w:rsidRPr="006A1E57" w:rsidRDefault="00D73079" w:rsidP="00D73079">
            <w:pPr>
              <w:jc w:val="center"/>
              <w:rPr>
                <w:rFonts w:cs="Times New Roman"/>
                <w:sz w:val="20"/>
                <w:szCs w:val="20"/>
              </w:rPr>
            </w:pPr>
          </w:p>
        </w:tc>
        <w:tc>
          <w:tcPr>
            <w:tcW w:w="2035" w:type="dxa"/>
            <w:vAlign w:val="center"/>
          </w:tcPr>
          <w:p w14:paraId="7E315B5D" w14:textId="77777777" w:rsidR="00D73079" w:rsidRPr="006A1E57" w:rsidRDefault="00D73079" w:rsidP="00D73079">
            <w:pPr>
              <w:jc w:val="center"/>
              <w:rPr>
                <w:rFonts w:cs="Times New Roman"/>
                <w:sz w:val="20"/>
                <w:szCs w:val="20"/>
              </w:rPr>
            </w:pPr>
            <w:r w:rsidRPr="006A1E57">
              <w:rPr>
                <w:rFonts w:cs="Times New Roman"/>
                <w:sz w:val="20"/>
                <w:szCs w:val="20"/>
              </w:rPr>
              <w:t xml:space="preserve">In-depth research in this area has been done before, and experts lack knowledge and </w:t>
            </w:r>
          </w:p>
          <w:p w14:paraId="468AE8F5" w14:textId="77777777" w:rsidR="00D73079" w:rsidRPr="006A1E57" w:rsidRDefault="00D73079" w:rsidP="00D73079">
            <w:pPr>
              <w:jc w:val="center"/>
              <w:rPr>
                <w:rFonts w:cs="Times New Roman"/>
                <w:sz w:val="20"/>
                <w:szCs w:val="20"/>
              </w:rPr>
            </w:pPr>
          </w:p>
          <w:p w14:paraId="5A17E7AD" w14:textId="77777777" w:rsidR="00D73079" w:rsidRPr="006A1E57" w:rsidRDefault="00D73079" w:rsidP="00D73079">
            <w:pPr>
              <w:jc w:val="center"/>
              <w:rPr>
                <w:rFonts w:cs="Times New Roman"/>
                <w:sz w:val="20"/>
                <w:szCs w:val="20"/>
                <w:lang w:val="en-US"/>
              </w:rPr>
            </w:pPr>
            <w:r w:rsidRPr="006A1E57">
              <w:rPr>
                <w:rFonts w:cs="Times New Roman"/>
                <w:sz w:val="20"/>
                <w:szCs w:val="20"/>
                <w:lang w:val="en-US"/>
              </w:rPr>
              <w:t>Weak</w:t>
            </w:r>
          </w:p>
          <w:p w14:paraId="5908DE25" w14:textId="621FCE88" w:rsidR="00D73079" w:rsidRPr="006A1E57" w:rsidRDefault="00D73079" w:rsidP="00D73079">
            <w:pPr>
              <w:jc w:val="center"/>
              <w:rPr>
                <w:rFonts w:cs="Times New Roman"/>
                <w:sz w:val="20"/>
                <w:szCs w:val="20"/>
              </w:rPr>
            </w:pPr>
            <w:r w:rsidRPr="006A1E57">
              <w:rPr>
                <w:rFonts w:cs="Times New Roman"/>
                <w:sz w:val="20"/>
                <w:szCs w:val="20"/>
              </w:rPr>
              <w:t>management and polic</w:t>
            </w:r>
            <w:proofErr w:type="spellStart"/>
            <w:r w:rsidRPr="006A1E57">
              <w:rPr>
                <w:rFonts w:cs="Times New Roman"/>
                <w:sz w:val="20"/>
                <w:szCs w:val="20"/>
                <w:lang w:val="en-US"/>
              </w:rPr>
              <w:t>ies</w:t>
            </w:r>
            <w:proofErr w:type="spellEnd"/>
            <w:r w:rsidRPr="006A1E57">
              <w:rPr>
                <w:rFonts w:cs="Times New Roman"/>
                <w:sz w:val="20"/>
                <w:szCs w:val="20"/>
                <w:lang w:val="en-US"/>
              </w:rPr>
              <w:t xml:space="preserve"> on</w:t>
            </w:r>
            <w:r w:rsidRPr="006A1E57">
              <w:rPr>
                <w:rFonts w:cs="Times New Roman"/>
                <w:sz w:val="20"/>
                <w:szCs w:val="20"/>
              </w:rPr>
              <w:t xml:space="preserve"> </w:t>
            </w:r>
            <w:r w:rsidRPr="006A1E57">
              <w:rPr>
                <w:rFonts w:cs="Times New Roman"/>
                <w:sz w:val="20"/>
                <w:szCs w:val="20"/>
                <w:lang w:eastAsia="zh-CN"/>
              </w:rPr>
              <w:t xml:space="preserve">landscape architecture planning </w:t>
            </w:r>
          </w:p>
        </w:tc>
        <w:tc>
          <w:tcPr>
            <w:tcW w:w="1843" w:type="dxa"/>
            <w:vAlign w:val="center"/>
          </w:tcPr>
          <w:p w14:paraId="79432CD1" w14:textId="77777777" w:rsidR="00D73079" w:rsidRPr="006A1E57" w:rsidRDefault="00D73079" w:rsidP="00D73079">
            <w:pPr>
              <w:jc w:val="center"/>
              <w:rPr>
                <w:rFonts w:cs="Times New Roman"/>
                <w:color w:val="FF0000"/>
                <w:sz w:val="20"/>
                <w:szCs w:val="20"/>
                <w:lang w:eastAsia="zh-CN"/>
              </w:rPr>
            </w:pPr>
            <w:r w:rsidRPr="006A1E57">
              <w:rPr>
                <w:rFonts w:cs="Times New Roman"/>
                <w:sz w:val="20"/>
                <w:szCs w:val="20"/>
              </w:rPr>
              <w:t>There is no comprehensive database and weak coordination of professional organizations</w:t>
            </w:r>
          </w:p>
          <w:p w14:paraId="211B3FF8" w14:textId="77777777" w:rsidR="00D73079" w:rsidRPr="006A1E57" w:rsidRDefault="00D73079" w:rsidP="00D73079">
            <w:pPr>
              <w:jc w:val="center"/>
              <w:rPr>
                <w:rFonts w:cs="Times New Roman"/>
                <w:color w:val="FF0000"/>
                <w:sz w:val="20"/>
                <w:szCs w:val="20"/>
                <w:lang w:eastAsia="zh-CN"/>
              </w:rPr>
            </w:pPr>
          </w:p>
          <w:p w14:paraId="443F14F2" w14:textId="2D71D241" w:rsidR="00D73079" w:rsidRPr="006A1E57" w:rsidRDefault="00D73079" w:rsidP="00D73079">
            <w:pPr>
              <w:jc w:val="center"/>
              <w:rPr>
                <w:rFonts w:cs="Times New Roman"/>
                <w:sz w:val="20"/>
                <w:szCs w:val="20"/>
              </w:rPr>
            </w:pPr>
            <w:r w:rsidRPr="006A1E57">
              <w:rPr>
                <w:rFonts w:cs="Times New Roman"/>
                <w:sz w:val="20"/>
                <w:szCs w:val="20"/>
                <w:lang w:eastAsia="zh-CN"/>
              </w:rPr>
              <w:t>There is no integrated policy of landscape architecture planning based on an urban sustainable development program</w:t>
            </w:r>
          </w:p>
        </w:tc>
        <w:tc>
          <w:tcPr>
            <w:tcW w:w="1309" w:type="dxa"/>
            <w:vAlign w:val="center"/>
          </w:tcPr>
          <w:p w14:paraId="43136A25" w14:textId="029BD432" w:rsidR="00D73079" w:rsidRPr="006A1E57" w:rsidRDefault="00D73079" w:rsidP="00D73079">
            <w:pPr>
              <w:jc w:val="center"/>
              <w:rPr>
                <w:rFonts w:cs="Times New Roman"/>
                <w:sz w:val="20"/>
                <w:szCs w:val="20"/>
              </w:rPr>
            </w:pPr>
            <w:r w:rsidRPr="006A1E57">
              <w:rPr>
                <w:rFonts w:cs="Times New Roman"/>
                <w:sz w:val="20"/>
                <w:szCs w:val="20"/>
              </w:rPr>
              <w:t>Learn from international experience and methods, conduct joint research with experienced professors</w:t>
            </w:r>
          </w:p>
        </w:tc>
        <w:tc>
          <w:tcPr>
            <w:tcW w:w="1577" w:type="dxa"/>
            <w:vAlign w:val="center"/>
          </w:tcPr>
          <w:p w14:paraId="5ADBEC4D" w14:textId="2F2827B4" w:rsidR="00D73079" w:rsidRPr="006A1E57" w:rsidRDefault="00D73079" w:rsidP="00D73079">
            <w:pPr>
              <w:jc w:val="center"/>
              <w:rPr>
                <w:rFonts w:cs="Times New Roman"/>
                <w:sz w:val="20"/>
                <w:szCs w:val="20"/>
              </w:rPr>
            </w:pPr>
            <w:r w:rsidRPr="006A1E57">
              <w:rPr>
                <w:rFonts w:cs="Times New Roman"/>
                <w:sz w:val="20"/>
                <w:szCs w:val="20"/>
              </w:rPr>
              <w:t>To develop capacity for academic mobility</w:t>
            </w:r>
          </w:p>
        </w:tc>
        <w:tc>
          <w:tcPr>
            <w:tcW w:w="1221" w:type="dxa"/>
            <w:vAlign w:val="center"/>
          </w:tcPr>
          <w:p w14:paraId="4DC4AE3B" w14:textId="3287FE4F" w:rsidR="00D73079" w:rsidRPr="006A1E57" w:rsidRDefault="00D73079" w:rsidP="00D73079">
            <w:pPr>
              <w:jc w:val="center"/>
              <w:rPr>
                <w:rFonts w:cs="Times New Roman"/>
                <w:sz w:val="20"/>
                <w:szCs w:val="20"/>
              </w:rPr>
            </w:pPr>
            <w:r w:rsidRPr="006A1E57">
              <w:rPr>
                <w:rFonts w:cs="Times New Roman"/>
                <w:color w:val="202124"/>
                <w:sz w:val="20"/>
                <w:szCs w:val="20"/>
                <w:shd w:val="clear" w:color="auto" w:fill="FFFFFF"/>
                <w:lang w:val="en-US"/>
              </w:rPr>
              <w:t>UPRI</w:t>
            </w:r>
          </w:p>
        </w:tc>
        <w:tc>
          <w:tcPr>
            <w:tcW w:w="969" w:type="dxa"/>
            <w:vAlign w:val="center"/>
          </w:tcPr>
          <w:p w14:paraId="59247881" w14:textId="77777777" w:rsidR="00D73079" w:rsidRPr="006A1E57" w:rsidRDefault="00D73079" w:rsidP="00D73079">
            <w:pPr>
              <w:jc w:val="center"/>
              <w:rPr>
                <w:rFonts w:cs="Times New Roman"/>
                <w:sz w:val="20"/>
                <w:szCs w:val="20"/>
              </w:rPr>
            </w:pPr>
          </w:p>
        </w:tc>
      </w:tr>
      <w:tr w:rsidR="00A73432" w:rsidRPr="006A1E57" w14:paraId="7B73A028" w14:textId="672FCA5F" w:rsidTr="00A73432">
        <w:trPr>
          <w:jc w:val="center"/>
        </w:trPr>
        <w:tc>
          <w:tcPr>
            <w:tcW w:w="1362" w:type="dxa"/>
            <w:vAlign w:val="center"/>
          </w:tcPr>
          <w:p w14:paraId="59630314" w14:textId="2633E5FB" w:rsidR="00D73079" w:rsidRPr="006A1E57" w:rsidRDefault="00D73079" w:rsidP="00D73079">
            <w:pPr>
              <w:jc w:val="center"/>
              <w:rPr>
                <w:rFonts w:cs="Times New Roman"/>
                <w:sz w:val="20"/>
                <w:szCs w:val="20"/>
              </w:rPr>
            </w:pPr>
            <w:r w:rsidRPr="006A1E57">
              <w:rPr>
                <w:rFonts w:cs="Times New Roman"/>
                <w:sz w:val="20"/>
                <w:szCs w:val="20"/>
              </w:rPr>
              <w:t>Urban Ecology: Landscape Architectural Planning Services</w:t>
            </w:r>
          </w:p>
        </w:tc>
        <w:tc>
          <w:tcPr>
            <w:tcW w:w="2035" w:type="dxa"/>
            <w:vAlign w:val="center"/>
          </w:tcPr>
          <w:p w14:paraId="4679FD97" w14:textId="300A9A63" w:rsidR="00D73079" w:rsidRPr="006A1E57" w:rsidRDefault="00D73079" w:rsidP="00D73079">
            <w:pPr>
              <w:jc w:val="center"/>
              <w:rPr>
                <w:rFonts w:cs="Times New Roman"/>
                <w:sz w:val="20"/>
                <w:szCs w:val="20"/>
              </w:rPr>
            </w:pPr>
            <w:r w:rsidRPr="006A1E57">
              <w:rPr>
                <w:rFonts w:cs="Times New Roman"/>
                <w:sz w:val="20"/>
                <w:szCs w:val="20"/>
              </w:rPr>
              <w:t>There is no professor who has supervised a doctoral student in landscape architecture</w:t>
            </w:r>
          </w:p>
        </w:tc>
        <w:tc>
          <w:tcPr>
            <w:tcW w:w="1843" w:type="dxa"/>
            <w:vAlign w:val="center"/>
          </w:tcPr>
          <w:p w14:paraId="51027633" w14:textId="21D19764" w:rsidR="00D73079" w:rsidRPr="006A1E57" w:rsidRDefault="00D73079" w:rsidP="00D73079">
            <w:pPr>
              <w:jc w:val="center"/>
              <w:rPr>
                <w:rFonts w:cs="Times New Roman"/>
                <w:sz w:val="20"/>
                <w:szCs w:val="20"/>
              </w:rPr>
            </w:pPr>
            <w:r w:rsidRPr="006A1E57">
              <w:rPr>
                <w:rFonts w:cs="Times New Roman"/>
                <w:sz w:val="20"/>
                <w:szCs w:val="20"/>
              </w:rPr>
              <w:t>There is no unified urban green space planning</w:t>
            </w:r>
          </w:p>
        </w:tc>
        <w:tc>
          <w:tcPr>
            <w:tcW w:w="1309" w:type="dxa"/>
            <w:vAlign w:val="center"/>
          </w:tcPr>
          <w:p w14:paraId="667D7564" w14:textId="00A99F7D" w:rsidR="00D73079" w:rsidRPr="006A1E57" w:rsidRDefault="00D73079" w:rsidP="00D73079">
            <w:pPr>
              <w:jc w:val="center"/>
              <w:rPr>
                <w:rFonts w:cs="Times New Roman"/>
                <w:sz w:val="20"/>
                <w:szCs w:val="20"/>
              </w:rPr>
            </w:pPr>
            <w:r w:rsidRPr="006A1E57">
              <w:rPr>
                <w:rFonts w:cs="Times New Roman"/>
                <w:sz w:val="20"/>
                <w:szCs w:val="20"/>
              </w:rPr>
              <w:t>Co-supervision of a new doctoral thesis specifically addressing of th</w:t>
            </w:r>
            <w:r w:rsidRPr="006A1E57">
              <w:rPr>
                <w:rFonts w:cs="Times New Roman"/>
                <w:sz w:val="20"/>
                <w:szCs w:val="20"/>
                <w:lang w:val="en-US"/>
              </w:rPr>
              <w:t>is</w:t>
            </w:r>
            <w:r w:rsidRPr="006A1E57">
              <w:rPr>
                <w:rFonts w:cs="Times New Roman"/>
                <w:sz w:val="20"/>
                <w:szCs w:val="20"/>
              </w:rPr>
              <w:t xml:space="preserve"> topic</w:t>
            </w:r>
          </w:p>
        </w:tc>
        <w:tc>
          <w:tcPr>
            <w:tcW w:w="1577" w:type="dxa"/>
            <w:vAlign w:val="center"/>
          </w:tcPr>
          <w:p w14:paraId="760D689F" w14:textId="06582ED1" w:rsidR="00D73079" w:rsidRPr="006A1E57" w:rsidRDefault="00D73079" w:rsidP="00D73079">
            <w:pPr>
              <w:jc w:val="center"/>
              <w:rPr>
                <w:rFonts w:cs="Times New Roman"/>
                <w:sz w:val="20"/>
                <w:szCs w:val="20"/>
              </w:rPr>
            </w:pPr>
            <w:r w:rsidRPr="006A1E57">
              <w:rPr>
                <w:rFonts w:cs="Times New Roman"/>
                <w:sz w:val="20"/>
                <w:szCs w:val="20"/>
                <w:lang w:val="en-US"/>
              </w:rPr>
              <w:t>Build capacity of teaching staff</w:t>
            </w:r>
          </w:p>
        </w:tc>
        <w:tc>
          <w:tcPr>
            <w:tcW w:w="1221" w:type="dxa"/>
            <w:vAlign w:val="center"/>
          </w:tcPr>
          <w:p w14:paraId="3ED988D8" w14:textId="0008C872" w:rsidR="00D73079" w:rsidRPr="006A1E57" w:rsidRDefault="00D73079" w:rsidP="00D73079">
            <w:pPr>
              <w:jc w:val="center"/>
              <w:rPr>
                <w:rFonts w:cs="Times New Roman"/>
                <w:sz w:val="20"/>
                <w:szCs w:val="20"/>
              </w:rPr>
            </w:pPr>
            <w:r w:rsidRPr="006A1E57">
              <w:rPr>
                <w:rFonts w:cs="Times New Roman"/>
                <w:sz w:val="20"/>
                <w:szCs w:val="20"/>
                <w:lang w:val="en-US"/>
              </w:rPr>
              <w:t>NUM</w:t>
            </w:r>
          </w:p>
        </w:tc>
        <w:tc>
          <w:tcPr>
            <w:tcW w:w="969" w:type="dxa"/>
            <w:vAlign w:val="center"/>
          </w:tcPr>
          <w:p w14:paraId="2F7392BA" w14:textId="77777777" w:rsidR="00D73079" w:rsidRPr="006A1E57" w:rsidRDefault="00D73079" w:rsidP="00D73079">
            <w:pPr>
              <w:jc w:val="center"/>
              <w:rPr>
                <w:rFonts w:cs="Times New Roman"/>
                <w:sz w:val="20"/>
                <w:szCs w:val="20"/>
              </w:rPr>
            </w:pPr>
          </w:p>
        </w:tc>
      </w:tr>
      <w:tr w:rsidR="00A73432" w:rsidRPr="006A1E57" w14:paraId="1C46EA3A" w14:textId="7FD0B8D7" w:rsidTr="00A73432">
        <w:trPr>
          <w:jc w:val="center"/>
        </w:trPr>
        <w:tc>
          <w:tcPr>
            <w:tcW w:w="1362" w:type="dxa"/>
            <w:vAlign w:val="center"/>
          </w:tcPr>
          <w:p w14:paraId="6BFE6515" w14:textId="77777777" w:rsidR="00D73079" w:rsidRPr="006A1E57" w:rsidRDefault="00D73079" w:rsidP="00D73079">
            <w:pPr>
              <w:pStyle w:val="ListParagraph"/>
              <w:ind w:left="60"/>
              <w:jc w:val="center"/>
              <w:rPr>
                <w:rFonts w:cs="Times New Roman"/>
                <w:sz w:val="20"/>
                <w:szCs w:val="20"/>
              </w:rPr>
            </w:pPr>
            <w:r w:rsidRPr="006A1E57">
              <w:rPr>
                <w:rFonts w:cs="Times New Roman"/>
                <w:sz w:val="20"/>
                <w:szCs w:val="20"/>
              </w:rPr>
              <w:t>Billion Tree National Compa</w:t>
            </w:r>
            <w:proofErr w:type="spellStart"/>
            <w:r w:rsidRPr="006A1E57">
              <w:rPr>
                <w:rFonts w:cs="Times New Roman"/>
                <w:sz w:val="20"/>
                <w:szCs w:val="20"/>
                <w:lang w:val="en-US"/>
              </w:rPr>
              <w:t>ign</w:t>
            </w:r>
            <w:proofErr w:type="spellEnd"/>
            <w:r w:rsidRPr="006A1E57">
              <w:rPr>
                <w:rFonts w:cs="Times New Roman"/>
                <w:sz w:val="20"/>
                <w:szCs w:val="20"/>
              </w:rPr>
              <w:t xml:space="preserve"> and effective landscape </w:t>
            </w:r>
            <w:r w:rsidRPr="006A1E57">
              <w:rPr>
                <w:rFonts w:cs="Times New Roman"/>
                <w:sz w:val="20"/>
                <w:szCs w:val="20"/>
                <w:lang w:val="en-US"/>
              </w:rPr>
              <w:t xml:space="preserve">architecture </w:t>
            </w:r>
            <w:r w:rsidRPr="006A1E57">
              <w:rPr>
                <w:rFonts w:cs="Times New Roman"/>
                <w:sz w:val="20"/>
                <w:szCs w:val="20"/>
              </w:rPr>
              <w:t>planning</w:t>
            </w:r>
          </w:p>
          <w:p w14:paraId="1DD41D3D" w14:textId="77777777" w:rsidR="00D73079" w:rsidRPr="006A1E57" w:rsidRDefault="00D73079" w:rsidP="00D73079">
            <w:pPr>
              <w:jc w:val="center"/>
              <w:rPr>
                <w:rFonts w:cs="Times New Roman"/>
                <w:sz w:val="20"/>
                <w:szCs w:val="20"/>
              </w:rPr>
            </w:pPr>
          </w:p>
        </w:tc>
        <w:tc>
          <w:tcPr>
            <w:tcW w:w="2035" w:type="dxa"/>
            <w:vAlign w:val="center"/>
          </w:tcPr>
          <w:p w14:paraId="6D7266A1" w14:textId="1978C2E2" w:rsidR="00D73079" w:rsidRPr="006A1E57" w:rsidRDefault="00D73079" w:rsidP="00D73079">
            <w:pPr>
              <w:jc w:val="center"/>
              <w:rPr>
                <w:rFonts w:cs="Times New Roman"/>
                <w:sz w:val="20"/>
                <w:szCs w:val="20"/>
              </w:rPr>
            </w:pPr>
            <w:r w:rsidRPr="006A1E57">
              <w:rPr>
                <w:rFonts w:cs="Times New Roman"/>
                <w:sz w:val="20"/>
                <w:szCs w:val="20"/>
                <w:lang w:val="en-US"/>
              </w:rPr>
              <w:t>L</w:t>
            </w:r>
            <w:r w:rsidRPr="006A1E57">
              <w:rPr>
                <w:rFonts w:cs="Times New Roman"/>
                <w:sz w:val="20"/>
                <w:szCs w:val="20"/>
              </w:rPr>
              <w:t>ack the experience to effectively implement the Billion trees national campaign</w:t>
            </w:r>
          </w:p>
        </w:tc>
        <w:tc>
          <w:tcPr>
            <w:tcW w:w="1843" w:type="dxa"/>
            <w:vAlign w:val="center"/>
          </w:tcPr>
          <w:p w14:paraId="58D8148A" w14:textId="48D90548" w:rsidR="00D73079" w:rsidRPr="006A1E57" w:rsidRDefault="00D73079" w:rsidP="00D73079">
            <w:pPr>
              <w:jc w:val="center"/>
              <w:rPr>
                <w:rFonts w:cs="Times New Roman"/>
                <w:sz w:val="20"/>
                <w:szCs w:val="20"/>
              </w:rPr>
            </w:pPr>
            <w:r w:rsidRPr="006A1E57">
              <w:rPr>
                <w:rFonts w:cs="Times New Roman"/>
                <w:sz w:val="20"/>
                <w:szCs w:val="20"/>
              </w:rPr>
              <w:t>lack of experience and methodology for developing comprehensive landscape architecture planning.</w:t>
            </w:r>
          </w:p>
        </w:tc>
        <w:tc>
          <w:tcPr>
            <w:tcW w:w="1309" w:type="dxa"/>
            <w:vAlign w:val="center"/>
          </w:tcPr>
          <w:p w14:paraId="7498DB41" w14:textId="48AC894D" w:rsidR="00D73079" w:rsidRPr="006A1E57" w:rsidRDefault="00D73079" w:rsidP="00D73079">
            <w:pPr>
              <w:jc w:val="center"/>
              <w:rPr>
                <w:rFonts w:cs="Times New Roman"/>
                <w:sz w:val="20"/>
                <w:szCs w:val="20"/>
              </w:rPr>
            </w:pPr>
            <w:r w:rsidRPr="006A1E57">
              <w:rPr>
                <w:rFonts w:cs="Times New Roman"/>
                <w:sz w:val="20"/>
                <w:szCs w:val="20"/>
              </w:rPr>
              <w:t>Learn from international experience and methods, conduct joint research with experienced professors</w:t>
            </w:r>
          </w:p>
        </w:tc>
        <w:tc>
          <w:tcPr>
            <w:tcW w:w="1577" w:type="dxa"/>
            <w:vAlign w:val="center"/>
          </w:tcPr>
          <w:p w14:paraId="272046C0" w14:textId="1E1C2943" w:rsidR="00D73079" w:rsidRPr="006A1E57" w:rsidRDefault="00D73079" w:rsidP="00D73079">
            <w:pPr>
              <w:jc w:val="center"/>
              <w:rPr>
                <w:rFonts w:cs="Times New Roman"/>
                <w:sz w:val="20"/>
                <w:szCs w:val="20"/>
              </w:rPr>
            </w:pPr>
            <w:r w:rsidRPr="006A1E57">
              <w:rPr>
                <w:rFonts w:cs="Times New Roman"/>
                <w:sz w:val="20"/>
                <w:szCs w:val="20"/>
              </w:rPr>
              <w:t xml:space="preserve">Improving the knowledge and skills of </w:t>
            </w:r>
            <w:r w:rsidRPr="006A1E57">
              <w:rPr>
                <w:rFonts w:cs="Times New Roman"/>
                <w:sz w:val="20"/>
                <w:szCs w:val="20"/>
                <w:lang w:val="en-US"/>
              </w:rPr>
              <w:t>teaching staff</w:t>
            </w:r>
          </w:p>
        </w:tc>
        <w:tc>
          <w:tcPr>
            <w:tcW w:w="1221" w:type="dxa"/>
            <w:vAlign w:val="center"/>
          </w:tcPr>
          <w:p w14:paraId="3967C476" w14:textId="77777777" w:rsidR="00D73079" w:rsidRPr="006A1E57" w:rsidRDefault="00D73079" w:rsidP="00D73079">
            <w:pPr>
              <w:jc w:val="center"/>
              <w:rPr>
                <w:rFonts w:cs="Times New Roman"/>
                <w:sz w:val="20"/>
                <w:szCs w:val="20"/>
                <w:lang w:val="en-US"/>
              </w:rPr>
            </w:pPr>
            <w:r w:rsidRPr="006A1E57">
              <w:rPr>
                <w:rFonts w:cs="Times New Roman"/>
                <w:sz w:val="20"/>
                <w:szCs w:val="20"/>
                <w:lang w:val="en-US"/>
              </w:rPr>
              <w:t>NUM</w:t>
            </w:r>
          </w:p>
          <w:p w14:paraId="5CE8A387" w14:textId="77777777" w:rsidR="00D73079" w:rsidRPr="006A1E57" w:rsidRDefault="00D73079" w:rsidP="00D73079">
            <w:pPr>
              <w:jc w:val="center"/>
              <w:rPr>
                <w:rFonts w:cs="Times New Roman"/>
                <w:sz w:val="20"/>
                <w:szCs w:val="20"/>
                <w:lang w:val="en-US"/>
              </w:rPr>
            </w:pPr>
            <w:r w:rsidRPr="006A1E57">
              <w:rPr>
                <w:rFonts w:cs="Times New Roman"/>
                <w:sz w:val="20"/>
                <w:szCs w:val="20"/>
                <w:lang w:val="en-US"/>
              </w:rPr>
              <w:t>UPRI</w:t>
            </w:r>
          </w:p>
          <w:p w14:paraId="1C62B8DB" w14:textId="63D668E1" w:rsidR="00D73079" w:rsidRPr="006A1E57" w:rsidRDefault="00D73079" w:rsidP="00D73079">
            <w:pPr>
              <w:jc w:val="center"/>
              <w:rPr>
                <w:rFonts w:cs="Times New Roman"/>
                <w:sz w:val="20"/>
                <w:szCs w:val="20"/>
              </w:rPr>
            </w:pPr>
            <w:r w:rsidRPr="006A1E57">
              <w:rPr>
                <w:rFonts w:cs="Times New Roman"/>
                <w:sz w:val="20"/>
                <w:szCs w:val="20"/>
                <w:lang w:val="en-US"/>
              </w:rPr>
              <w:t>NGP</w:t>
            </w:r>
          </w:p>
        </w:tc>
        <w:tc>
          <w:tcPr>
            <w:tcW w:w="969" w:type="dxa"/>
            <w:vAlign w:val="center"/>
          </w:tcPr>
          <w:p w14:paraId="0550170E" w14:textId="77777777" w:rsidR="00D73079" w:rsidRPr="006A1E57" w:rsidRDefault="00D73079" w:rsidP="00D73079">
            <w:pPr>
              <w:jc w:val="center"/>
              <w:rPr>
                <w:rFonts w:cs="Times New Roman"/>
                <w:sz w:val="20"/>
                <w:szCs w:val="20"/>
              </w:rPr>
            </w:pPr>
          </w:p>
        </w:tc>
      </w:tr>
      <w:tr w:rsidR="00A73432" w:rsidRPr="006A1E57" w14:paraId="1EFEC317" w14:textId="6C912CCE" w:rsidTr="00A73432">
        <w:trPr>
          <w:jc w:val="center"/>
        </w:trPr>
        <w:tc>
          <w:tcPr>
            <w:tcW w:w="1362" w:type="dxa"/>
            <w:vAlign w:val="center"/>
          </w:tcPr>
          <w:p w14:paraId="33825CBA" w14:textId="77777777" w:rsidR="00D73079" w:rsidRPr="006A1E57" w:rsidRDefault="00D73079" w:rsidP="00D73079">
            <w:pPr>
              <w:pStyle w:val="ListParagraph"/>
              <w:ind w:left="60"/>
              <w:jc w:val="center"/>
              <w:rPr>
                <w:rFonts w:cs="Times New Roman"/>
                <w:sz w:val="20"/>
                <w:szCs w:val="20"/>
              </w:rPr>
            </w:pPr>
            <w:r w:rsidRPr="006A1E57">
              <w:rPr>
                <w:rFonts w:cs="Times New Roman"/>
                <w:sz w:val="20"/>
                <w:szCs w:val="20"/>
              </w:rPr>
              <w:lastRenderedPageBreak/>
              <w:t xml:space="preserve">Heavy </w:t>
            </w:r>
            <w:r w:rsidRPr="006A1E57">
              <w:rPr>
                <w:rFonts w:cs="Times New Roman"/>
                <w:sz w:val="20"/>
                <w:szCs w:val="20"/>
                <w:lang w:val="en-US"/>
              </w:rPr>
              <w:t>m</w:t>
            </w:r>
            <w:r w:rsidRPr="006A1E57">
              <w:rPr>
                <w:rFonts w:cs="Times New Roman"/>
                <w:sz w:val="20"/>
                <w:szCs w:val="20"/>
              </w:rPr>
              <w:t xml:space="preserve">etals and </w:t>
            </w:r>
            <w:r w:rsidRPr="006A1E57">
              <w:rPr>
                <w:rFonts w:cs="Times New Roman"/>
                <w:sz w:val="20"/>
                <w:szCs w:val="20"/>
                <w:lang w:val="en-US"/>
              </w:rPr>
              <w:t>p</w:t>
            </w:r>
            <w:r w:rsidRPr="006A1E57">
              <w:rPr>
                <w:rFonts w:cs="Times New Roman"/>
                <w:sz w:val="20"/>
                <w:szCs w:val="20"/>
              </w:rPr>
              <w:t xml:space="preserve">esticides </w:t>
            </w:r>
            <w:r w:rsidRPr="006A1E57">
              <w:rPr>
                <w:rFonts w:cs="Times New Roman"/>
                <w:sz w:val="20"/>
                <w:szCs w:val="20"/>
                <w:lang w:val="en-US"/>
              </w:rPr>
              <w:t>t</w:t>
            </w:r>
            <w:r w:rsidRPr="006A1E57">
              <w:rPr>
                <w:rFonts w:cs="Times New Roman"/>
                <w:sz w:val="20"/>
                <w:szCs w:val="20"/>
              </w:rPr>
              <w:t xml:space="preserve">oxicity in </w:t>
            </w:r>
            <w:r w:rsidRPr="006A1E57">
              <w:rPr>
                <w:rFonts w:cs="Times New Roman"/>
                <w:sz w:val="20"/>
                <w:szCs w:val="20"/>
                <w:lang w:val="en-US"/>
              </w:rPr>
              <w:t>urban a</w:t>
            </w:r>
            <w:r w:rsidRPr="006A1E57">
              <w:rPr>
                <w:rFonts w:cs="Times New Roman"/>
                <w:sz w:val="20"/>
                <w:szCs w:val="20"/>
              </w:rPr>
              <w:t xml:space="preserve">gricultural </w:t>
            </w:r>
            <w:r w:rsidRPr="006A1E57">
              <w:rPr>
                <w:rFonts w:cs="Times New Roman"/>
                <w:sz w:val="20"/>
                <w:szCs w:val="20"/>
                <w:lang w:val="en-US"/>
              </w:rPr>
              <w:t>s</w:t>
            </w:r>
            <w:r w:rsidRPr="006A1E57">
              <w:rPr>
                <w:rFonts w:cs="Times New Roman"/>
                <w:sz w:val="20"/>
                <w:szCs w:val="20"/>
              </w:rPr>
              <w:t xml:space="preserve">oil and </w:t>
            </w:r>
            <w:r w:rsidRPr="006A1E57">
              <w:rPr>
                <w:rFonts w:cs="Times New Roman"/>
                <w:sz w:val="20"/>
                <w:szCs w:val="20"/>
                <w:lang w:val="en-US"/>
              </w:rPr>
              <w:t>p</w:t>
            </w:r>
            <w:r w:rsidRPr="006A1E57">
              <w:rPr>
                <w:rFonts w:cs="Times New Roman"/>
                <w:sz w:val="20"/>
                <w:szCs w:val="20"/>
              </w:rPr>
              <w:t>lants</w:t>
            </w:r>
          </w:p>
          <w:p w14:paraId="67946891" w14:textId="77777777" w:rsidR="00D73079" w:rsidRPr="006A1E57" w:rsidRDefault="00D73079" w:rsidP="00D73079">
            <w:pPr>
              <w:jc w:val="center"/>
              <w:rPr>
                <w:rFonts w:cs="Times New Roman"/>
                <w:sz w:val="20"/>
                <w:szCs w:val="20"/>
              </w:rPr>
            </w:pPr>
          </w:p>
        </w:tc>
        <w:tc>
          <w:tcPr>
            <w:tcW w:w="2035" w:type="dxa"/>
            <w:vAlign w:val="center"/>
          </w:tcPr>
          <w:p w14:paraId="437C770A" w14:textId="2B2C0F02" w:rsidR="00D73079" w:rsidRPr="006A1E57" w:rsidRDefault="00D73079" w:rsidP="00D73079">
            <w:pPr>
              <w:jc w:val="center"/>
              <w:rPr>
                <w:rFonts w:cs="Times New Roman"/>
                <w:sz w:val="20"/>
                <w:szCs w:val="20"/>
              </w:rPr>
            </w:pPr>
            <w:r w:rsidRPr="006A1E57">
              <w:rPr>
                <w:rFonts w:cs="Times New Roman"/>
                <w:sz w:val="20"/>
                <w:szCs w:val="20"/>
              </w:rPr>
              <w:t>Lack of laboratory supply and capacity</w:t>
            </w:r>
          </w:p>
        </w:tc>
        <w:tc>
          <w:tcPr>
            <w:tcW w:w="1843" w:type="dxa"/>
            <w:vAlign w:val="center"/>
          </w:tcPr>
          <w:p w14:paraId="18EF97D9" w14:textId="5448857C" w:rsidR="00D73079" w:rsidRPr="006A1E57" w:rsidRDefault="00D73079" w:rsidP="00D73079">
            <w:pPr>
              <w:jc w:val="center"/>
              <w:rPr>
                <w:rFonts w:cs="Times New Roman"/>
                <w:sz w:val="20"/>
                <w:szCs w:val="20"/>
              </w:rPr>
            </w:pPr>
            <w:r w:rsidRPr="006A1E57">
              <w:rPr>
                <w:rFonts w:cs="Times New Roman"/>
                <w:sz w:val="20"/>
                <w:szCs w:val="20"/>
              </w:rPr>
              <w:t>Monitoring and assessment of pesticide usage in agriculture are poorly developed</w:t>
            </w:r>
          </w:p>
        </w:tc>
        <w:tc>
          <w:tcPr>
            <w:tcW w:w="1309" w:type="dxa"/>
            <w:vAlign w:val="center"/>
          </w:tcPr>
          <w:p w14:paraId="7D35C401" w14:textId="77777777" w:rsidR="00D73079" w:rsidRPr="006A1E57" w:rsidRDefault="00D73079" w:rsidP="00D73079">
            <w:pPr>
              <w:jc w:val="center"/>
              <w:rPr>
                <w:rFonts w:cs="Times New Roman"/>
                <w:sz w:val="20"/>
                <w:szCs w:val="20"/>
                <w:lang w:val="en-US"/>
              </w:rPr>
            </w:pPr>
            <w:r w:rsidRPr="006A1E57">
              <w:rPr>
                <w:rFonts w:cs="Times New Roman"/>
                <w:sz w:val="20"/>
                <w:szCs w:val="20"/>
              </w:rPr>
              <w:t xml:space="preserve">Co-supervision of a new </w:t>
            </w:r>
            <w:r w:rsidRPr="006A1E57">
              <w:rPr>
                <w:rFonts w:cs="Times New Roman"/>
                <w:sz w:val="20"/>
                <w:szCs w:val="20"/>
                <w:lang w:val="en-US"/>
              </w:rPr>
              <w:t xml:space="preserve">MSc and PhD </w:t>
            </w:r>
            <w:r w:rsidRPr="006A1E57">
              <w:rPr>
                <w:rFonts w:cs="Times New Roman"/>
                <w:sz w:val="20"/>
                <w:szCs w:val="20"/>
              </w:rPr>
              <w:t xml:space="preserve"> thesis</w:t>
            </w:r>
            <w:r w:rsidRPr="006A1E57">
              <w:rPr>
                <w:rFonts w:cs="Times New Roman"/>
                <w:sz w:val="20"/>
                <w:szCs w:val="20"/>
                <w:lang w:val="en-US"/>
              </w:rPr>
              <w:t>,</w:t>
            </w:r>
          </w:p>
          <w:p w14:paraId="3AA111CF" w14:textId="12AD5207" w:rsidR="00D73079" w:rsidRPr="006A1E57" w:rsidRDefault="00D73079" w:rsidP="00D73079">
            <w:pPr>
              <w:jc w:val="center"/>
              <w:rPr>
                <w:rFonts w:cs="Times New Roman"/>
                <w:sz w:val="20"/>
                <w:szCs w:val="20"/>
              </w:rPr>
            </w:pPr>
            <w:r w:rsidRPr="006A1E57">
              <w:rPr>
                <w:rFonts w:cs="Times New Roman"/>
                <w:sz w:val="20"/>
                <w:szCs w:val="20"/>
                <w:lang w:val="en-US"/>
              </w:rPr>
              <w:t>M</w:t>
            </w:r>
            <w:r w:rsidRPr="006A1E57">
              <w:rPr>
                <w:rFonts w:cs="Times New Roman"/>
                <w:sz w:val="20"/>
                <w:szCs w:val="20"/>
              </w:rPr>
              <w:t>utual visits and support to the fieldwork and laboratory analysis</w:t>
            </w:r>
          </w:p>
        </w:tc>
        <w:tc>
          <w:tcPr>
            <w:tcW w:w="1577" w:type="dxa"/>
            <w:vAlign w:val="center"/>
          </w:tcPr>
          <w:p w14:paraId="503511F5" w14:textId="1E308D2B" w:rsidR="00D73079" w:rsidRPr="006A1E57" w:rsidRDefault="00D73079" w:rsidP="00D73079">
            <w:pPr>
              <w:jc w:val="center"/>
              <w:rPr>
                <w:rFonts w:cs="Times New Roman"/>
                <w:sz w:val="20"/>
                <w:szCs w:val="20"/>
              </w:rPr>
            </w:pPr>
            <w:r w:rsidRPr="006A1E57">
              <w:rPr>
                <w:rFonts w:cs="Times New Roman"/>
                <w:sz w:val="20"/>
                <w:szCs w:val="20"/>
              </w:rPr>
              <w:t>To develop capacity for academic mobility</w:t>
            </w:r>
          </w:p>
        </w:tc>
        <w:tc>
          <w:tcPr>
            <w:tcW w:w="1221" w:type="dxa"/>
            <w:vAlign w:val="center"/>
          </w:tcPr>
          <w:p w14:paraId="47A46E0E" w14:textId="77777777" w:rsidR="00D73079" w:rsidRPr="006A1E57" w:rsidRDefault="00D73079" w:rsidP="00D73079">
            <w:pPr>
              <w:jc w:val="center"/>
              <w:rPr>
                <w:rFonts w:cs="Times New Roman"/>
                <w:sz w:val="20"/>
                <w:szCs w:val="20"/>
                <w:lang w:val="en-US"/>
              </w:rPr>
            </w:pPr>
            <w:r w:rsidRPr="006A1E57">
              <w:rPr>
                <w:rFonts w:cs="Times New Roman"/>
                <w:sz w:val="20"/>
                <w:szCs w:val="20"/>
                <w:lang w:val="en-US"/>
              </w:rPr>
              <w:t>NUM</w:t>
            </w:r>
          </w:p>
          <w:p w14:paraId="303FAD7A" w14:textId="77777777" w:rsidR="00D73079" w:rsidRPr="006A1E57" w:rsidRDefault="00D73079" w:rsidP="00D73079">
            <w:pPr>
              <w:jc w:val="center"/>
              <w:rPr>
                <w:rFonts w:cs="Times New Roman"/>
                <w:sz w:val="20"/>
                <w:szCs w:val="20"/>
              </w:rPr>
            </w:pPr>
          </w:p>
        </w:tc>
        <w:tc>
          <w:tcPr>
            <w:tcW w:w="969" w:type="dxa"/>
            <w:vAlign w:val="center"/>
          </w:tcPr>
          <w:p w14:paraId="1870C7EF" w14:textId="77777777" w:rsidR="00D73079" w:rsidRPr="006A1E57" w:rsidRDefault="00D73079" w:rsidP="00D73079">
            <w:pPr>
              <w:jc w:val="center"/>
              <w:rPr>
                <w:rFonts w:cs="Times New Roman"/>
                <w:sz w:val="20"/>
                <w:szCs w:val="20"/>
              </w:rPr>
            </w:pPr>
          </w:p>
        </w:tc>
      </w:tr>
      <w:tr w:rsidR="00A73432" w:rsidRPr="006A1E57" w14:paraId="15DA7D06" w14:textId="39B2E149" w:rsidTr="00A73432">
        <w:trPr>
          <w:jc w:val="center"/>
        </w:trPr>
        <w:tc>
          <w:tcPr>
            <w:tcW w:w="1362" w:type="dxa"/>
            <w:vAlign w:val="center"/>
          </w:tcPr>
          <w:p w14:paraId="2E8F1017" w14:textId="34FB1F3E" w:rsidR="00D73079" w:rsidRPr="00701B68" w:rsidRDefault="00BF47A8" w:rsidP="00D73079">
            <w:pPr>
              <w:jc w:val="center"/>
              <w:rPr>
                <w:rFonts w:cs="Times New Roman"/>
                <w:sz w:val="20"/>
                <w:szCs w:val="20"/>
              </w:rPr>
            </w:pPr>
            <w:r w:rsidRPr="00701B68">
              <w:rPr>
                <w:sz w:val="20"/>
                <w:szCs w:val="20"/>
                <w:lang w:val="en-US"/>
              </w:rPr>
              <w:t>Integrated open database of green-blue infrastructure</w:t>
            </w:r>
          </w:p>
        </w:tc>
        <w:tc>
          <w:tcPr>
            <w:tcW w:w="2035" w:type="dxa"/>
            <w:vAlign w:val="center"/>
          </w:tcPr>
          <w:p w14:paraId="416907D0" w14:textId="20EA5DA0" w:rsidR="00D73079" w:rsidRPr="00701B68" w:rsidRDefault="00BF47A8" w:rsidP="00BF47A8">
            <w:pPr>
              <w:jc w:val="both"/>
              <w:rPr>
                <w:sz w:val="20"/>
                <w:szCs w:val="20"/>
                <w:lang w:val="en-US"/>
              </w:rPr>
            </w:pPr>
            <w:r w:rsidRPr="00701B68">
              <w:rPr>
                <w:sz w:val="20"/>
                <w:szCs w:val="20"/>
                <w:lang w:val="en-US"/>
              </w:rPr>
              <w:t xml:space="preserve">There is no integrated database of green-blue infrastructure in urban area, research materials are not widely available, no accurate statistical data exist, collaboration between same or similar organizations are week. </w:t>
            </w:r>
          </w:p>
        </w:tc>
        <w:tc>
          <w:tcPr>
            <w:tcW w:w="1843" w:type="dxa"/>
            <w:vAlign w:val="center"/>
          </w:tcPr>
          <w:p w14:paraId="755D9F02" w14:textId="77777777" w:rsidR="00D73079" w:rsidRPr="00701B68" w:rsidRDefault="00D73079" w:rsidP="00D73079">
            <w:pPr>
              <w:jc w:val="center"/>
              <w:rPr>
                <w:rFonts w:cs="Times New Roman"/>
                <w:sz w:val="20"/>
                <w:szCs w:val="20"/>
              </w:rPr>
            </w:pPr>
          </w:p>
        </w:tc>
        <w:tc>
          <w:tcPr>
            <w:tcW w:w="1309" w:type="dxa"/>
            <w:vAlign w:val="center"/>
          </w:tcPr>
          <w:p w14:paraId="23AA17E0" w14:textId="7E72942F" w:rsidR="00D73079" w:rsidRPr="00701B68" w:rsidRDefault="00701B68" w:rsidP="00D73079">
            <w:pPr>
              <w:jc w:val="center"/>
              <w:rPr>
                <w:rFonts w:cs="Times New Roman"/>
                <w:sz w:val="20"/>
                <w:szCs w:val="20"/>
                <w:lang w:val="en-US"/>
              </w:rPr>
            </w:pPr>
            <w:r>
              <w:rPr>
                <w:rFonts w:cs="Times New Roman"/>
                <w:sz w:val="20"/>
                <w:szCs w:val="20"/>
                <w:lang w:val="en-US"/>
              </w:rPr>
              <w:t>To organize training how to use drone application to built database and mapping</w:t>
            </w:r>
          </w:p>
        </w:tc>
        <w:tc>
          <w:tcPr>
            <w:tcW w:w="1577" w:type="dxa"/>
            <w:vAlign w:val="center"/>
          </w:tcPr>
          <w:p w14:paraId="4F62A180" w14:textId="0AC3890C" w:rsidR="00D73079" w:rsidRPr="00701B68" w:rsidRDefault="00021C86" w:rsidP="00D73079">
            <w:pPr>
              <w:jc w:val="center"/>
              <w:rPr>
                <w:rFonts w:cs="Times New Roman"/>
                <w:sz w:val="20"/>
                <w:szCs w:val="20"/>
              </w:rPr>
            </w:pPr>
            <w:r w:rsidRPr="00701B68">
              <w:rPr>
                <w:rFonts w:cs="Times New Roman"/>
                <w:sz w:val="20"/>
                <w:szCs w:val="20"/>
                <w:lang w:val="en-US"/>
              </w:rPr>
              <w:t>To train specialist and snow actual examples</w:t>
            </w:r>
          </w:p>
        </w:tc>
        <w:tc>
          <w:tcPr>
            <w:tcW w:w="1221" w:type="dxa"/>
            <w:vAlign w:val="center"/>
          </w:tcPr>
          <w:p w14:paraId="77C950F6" w14:textId="4EFD3D9C" w:rsidR="00021C86" w:rsidRPr="00701B68" w:rsidRDefault="00021C86" w:rsidP="00D73079">
            <w:pPr>
              <w:jc w:val="center"/>
              <w:rPr>
                <w:rFonts w:cs="Times New Roman"/>
                <w:sz w:val="20"/>
                <w:szCs w:val="20"/>
                <w:lang w:val="en-US"/>
              </w:rPr>
            </w:pPr>
            <w:r w:rsidRPr="00701B68">
              <w:rPr>
                <w:rFonts w:cs="Times New Roman"/>
                <w:sz w:val="20"/>
                <w:szCs w:val="20"/>
                <w:lang w:val="en-US"/>
              </w:rPr>
              <w:t>UPRI</w:t>
            </w:r>
          </w:p>
          <w:p w14:paraId="09F2BEEB" w14:textId="67991BB8" w:rsidR="00D73079" w:rsidRPr="00701B68" w:rsidRDefault="00021C86" w:rsidP="00D73079">
            <w:pPr>
              <w:jc w:val="center"/>
              <w:rPr>
                <w:rFonts w:cs="Times New Roman"/>
                <w:sz w:val="20"/>
                <w:szCs w:val="20"/>
                <w:lang w:val="en-US"/>
              </w:rPr>
            </w:pPr>
            <w:r w:rsidRPr="00701B68">
              <w:rPr>
                <w:rFonts w:cs="Times New Roman"/>
                <w:sz w:val="20"/>
                <w:szCs w:val="20"/>
                <w:lang w:val="en-US"/>
              </w:rPr>
              <w:t>NGP</w:t>
            </w:r>
          </w:p>
        </w:tc>
        <w:tc>
          <w:tcPr>
            <w:tcW w:w="969" w:type="dxa"/>
            <w:vAlign w:val="center"/>
          </w:tcPr>
          <w:p w14:paraId="1E796F9C" w14:textId="77777777" w:rsidR="00D73079" w:rsidRPr="00701B68" w:rsidRDefault="00D73079" w:rsidP="00D73079">
            <w:pPr>
              <w:jc w:val="center"/>
              <w:rPr>
                <w:rFonts w:cs="Times New Roman"/>
                <w:sz w:val="20"/>
                <w:szCs w:val="20"/>
              </w:rPr>
            </w:pPr>
          </w:p>
        </w:tc>
      </w:tr>
      <w:tr w:rsidR="00A73432" w:rsidRPr="006A1E57" w14:paraId="1D4D0D02" w14:textId="33BB6F17" w:rsidTr="00A73432">
        <w:trPr>
          <w:jc w:val="center"/>
        </w:trPr>
        <w:tc>
          <w:tcPr>
            <w:tcW w:w="1362" w:type="dxa"/>
            <w:vAlign w:val="center"/>
          </w:tcPr>
          <w:p w14:paraId="79FB1AA1" w14:textId="2F980A14" w:rsidR="00A73432" w:rsidRPr="006A1E57" w:rsidRDefault="00A73432" w:rsidP="00A73432">
            <w:pPr>
              <w:jc w:val="center"/>
              <w:rPr>
                <w:rFonts w:cs="Times New Roman"/>
                <w:sz w:val="20"/>
                <w:szCs w:val="20"/>
              </w:rPr>
            </w:pPr>
            <w:r>
              <w:rPr>
                <w:rFonts w:cs="Times New Roman"/>
                <w:sz w:val="20"/>
                <w:szCs w:val="20"/>
                <w:lang w:val="en-US"/>
              </w:rPr>
              <w:t>M</w:t>
            </w:r>
            <w:r w:rsidRPr="00672BC2">
              <w:rPr>
                <w:rFonts w:cs="Times New Roman"/>
                <w:sz w:val="20"/>
                <w:szCs w:val="20"/>
              </w:rPr>
              <w:t>odern understanding</w:t>
            </w:r>
          </w:p>
        </w:tc>
        <w:tc>
          <w:tcPr>
            <w:tcW w:w="2035" w:type="dxa"/>
            <w:vAlign w:val="center"/>
          </w:tcPr>
          <w:p w14:paraId="31398F52" w14:textId="5D90B21E" w:rsidR="00A73432" w:rsidRPr="006A1E57" w:rsidRDefault="00A73432" w:rsidP="00A73432">
            <w:pPr>
              <w:jc w:val="center"/>
              <w:rPr>
                <w:rFonts w:cs="Times New Roman"/>
                <w:sz w:val="20"/>
                <w:szCs w:val="20"/>
              </w:rPr>
            </w:pPr>
            <w:r w:rsidRPr="00672BC2">
              <w:rPr>
                <w:rFonts w:cs="Times New Roman"/>
                <w:sz w:val="20"/>
                <w:szCs w:val="20"/>
              </w:rPr>
              <w:t>Lack of human capacity who has modern understanding about urban sustainable development, 3D spatial green planning, nature-based solution, ecological technology, ecological service and disservice.</w:t>
            </w:r>
          </w:p>
        </w:tc>
        <w:tc>
          <w:tcPr>
            <w:tcW w:w="1843" w:type="dxa"/>
            <w:vAlign w:val="center"/>
          </w:tcPr>
          <w:p w14:paraId="083C07F2" w14:textId="77777777" w:rsidR="00A73432" w:rsidRPr="006A1E57" w:rsidRDefault="00A73432" w:rsidP="00A73432">
            <w:pPr>
              <w:jc w:val="center"/>
              <w:rPr>
                <w:rFonts w:cs="Times New Roman"/>
                <w:sz w:val="20"/>
                <w:szCs w:val="20"/>
              </w:rPr>
            </w:pPr>
          </w:p>
        </w:tc>
        <w:tc>
          <w:tcPr>
            <w:tcW w:w="1309" w:type="dxa"/>
            <w:vAlign w:val="center"/>
          </w:tcPr>
          <w:p w14:paraId="02098983" w14:textId="102692F1" w:rsidR="00A73432" w:rsidRPr="00A73432" w:rsidRDefault="00A73432" w:rsidP="00A73432">
            <w:pPr>
              <w:jc w:val="center"/>
              <w:rPr>
                <w:rFonts w:cs="Times New Roman"/>
                <w:sz w:val="20"/>
                <w:szCs w:val="20"/>
                <w:lang w:val="en-US"/>
              </w:rPr>
            </w:pPr>
            <w:r>
              <w:rPr>
                <w:rFonts w:cs="Times New Roman"/>
                <w:sz w:val="20"/>
                <w:szCs w:val="20"/>
                <w:lang w:val="en-US"/>
              </w:rPr>
              <w:t>To organize training</w:t>
            </w:r>
            <w:r>
              <w:rPr>
                <w:rFonts w:cs="Times New Roman"/>
                <w:sz w:val="20"/>
                <w:szCs w:val="20"/>
              </w:rPr>
              <w:t xml:space="preserve"> </w:t>
            </w:r>
            <w:r>
              <w:rPr>
                <w:rFonts w:cs="Times New Roman"/>
                <w:sz w:val="20"/>
                <w:szCs w:val="20"/>
                <w:lang w:val="en-US"/>
              </w:rPr>
              <w:t>in Mongolian languages with examples</w:t>
            </w:r>
          </w:p>
        </w:tc>
        <w:tc>
          <w:tcPr>
            <w:tcW w:w="1577" w:type="dxa"/>
            <w:vAlign w:val="center"/>
          </w:tcPr>
          <w:p w14:paraId="42ED1BB7" w14:textId="0779E08A" w:rsidR="00A73432" w:rsidRPr="006A1E57" w:rsidRDefault="00A73432" w:rsidP="00A73432">
            <w:pPr>
              <w:jc w:val="center"/>
              <w:rPr>
                <w:rFonts w:cs="Times New Roman"/>
                <w:sz w:val="20"/>
                <w:szCs w:val="20"/>
              </w:rPr>
            </w:pPr>
            <w:r w:rsidRPr="006A1E57">
              <w:rPr>
                <w:rFonts w:cs="Times New Roman"/>
                <w:sz w:val="20"/>
                <w:szCs w:val="20"/>
                <w:lang w:val="en-US"/>
              </w:rPr>
              <w:t>Build capacity of teaching</w:t>
            </w:r>
            <w:r>
              <w:rPr>
                <w:rFonts w:cs="Times New Roman"/>
                <w:sz w:val="20"/>
                <w:szCs w:val="20"/>
                <w:lang w:val="en-US"/>
              </w:rPr>
              <w:t xml:space="preserve"> staff and specialist</w:t>
            </w:r>
          </w:p>
        </w:tc>
        <w:tc>
          <w:tcPr>
            <w:tcW w:w="1221" w:type="dxa"/>
            <w:vAlign w:val="center"/>
          </w:tcPr>
          <w:p w14:paraId="3656E2FF" w14:textId="77777777" w:rsidR="00A73432" w:rsidRPr="00701B68" w:rsidRDefault="00A73432" w:rsidP="00A73432">
            <w:pPr>
              <w:jc w:val="center"/>
              <w:rPr>
                <w:rFonts w:cs="Times New Roman"/>
                <w:sz w:val="20"/>
                <w:szCs w:val="20"/>
                <w:lang w:val="en-US"/>
              </w:rPr>
            </w:pPr>
            <w:r w:rsidRPr="00701B68">
              <w:rPr>
                <w:rFonts w:cs="Times New Roman"/>
                <w:sz w:val="20"/>
                <w:szCs w:val="20"/>
                <w:lang w:val="en-US"/>
              </w:rPr>
              <w:t>UPRI</w:t>
            </w:r>
          </w:p>
          <w:p w14:paraId="606DC3A8" w14:textId="3E4F289A" w:rsidR="00A73432" w:rsidRPr="006A1E57" w:rsidRDefault="00A73432" w:rsidP="00A73432">
            <w:pPr>
              <w:jc w:val="center"/>
              <w:rPr>
                <w:rFonts w:cs="Times New Roman"/>
                <w:sz w:val="20"/>
                <w:szCs w:val="20"/>
              </w:rPr>
            </w:pPr>
            <w:r w:rsidRPr="00701B68">
              <w:rPr>
                <w:rFonts w:cs="Times New Roman"/>
                <w:sz w:val="20"/>
                <w:szCs w:val="20"/>
                <w:lang w:val="en-US"/>
              </w:rPr>
              <w:t>NGP</w:t>
            </w:r>
          </w:p>
        </w:tc>
        <w:tc>
          <w:tcPr>
            <w:tcW w:w="969" w:type="dxa"/>
            <w:vAlign w:val="center"/>
          </w:tcPr>
          <w:p w14:paraId="38A1A0C5" w14:textId="77777777" w:rsidR="00A73432" w:rsidRPr="006A1E57" w:rsidRDefault="00A73432" w:rsidP="00A73432">
            <w:pPr>
              <w:jc w:val="center"/>
              <w:rPr>
                <w:rFonts w:cs="Times New Roman"/>
                <w:sz w:val="20"/>
                <w:szCs w:val="20"/>
              </w:rPr>
            </w:pPr>
          </w:p>
        </w:tc>
      </w:tr>
    </w:tbl>
    <w:p w14:paraId="37E0F081" w14:textId="77777777" w:rsidR="00582FAD" w:rsidRDefault="00582FAD" w:rsidP="00B5348F">
      <w:pPr>
        <w:jc w:val="both"/>
        <w:rPr>
          <w:lang w:val="en-US"/>
        </w:rPr>
      </w:pPr>
    </w:p>
    <w:p w14:paraId="1A906122" w14:textId="2785F559" w:rsidR="0069288D" w:rsidRDefault="00602E01" w:rsidP="00B5348F">
      <w:pPr>
        <w:jc w:val="both"/>
        <w:rPr>
          <w:lang w:val="en-US"/>
        </w:rPr>
      </w:pPr>
      <w:bookmarkStart w:id="0" w:name="OLE_LINK1"/>
      <w:r>
        <w:rPr>
          <w:lang w:val="en-US"/>
        </w:rPr>
        <w:t xml:space="preserve">Mongolian team has been organized virtual meeting about </w:t>
      </w:r>
      <w:r w:rsidRPr="00582FAD">
        <w:rPr>
          <w:lang w:val="en-US"/>
        </w:rPr>
        <w:t>gaps in the expertise</w:t>
      </w:r>
      <w:r>
        <w:rPr>
          <w:lang w:val="en-US"/>
        </w:rPr>
        <w:t xml:space="preserve"> and knowledge</w:t>
      </w:r>
      <w:r>
        <w:rPr>
          <w:lang w:val="en-US"/>
        </w:rPr>
        <w:t xml:space="preserve"> on 16 May 2022. Before the meeting, w</w:t>
      </w:r>
      <w:r w:rsidR="00582FAD">
        <w:rPr>
          <w:lang w:val="en-US"/>
        </w:rPr>
        <w:t xml:space="preserve">e developed questionary on </w:t>
      </w:r>
      <w:r w:rsidR="00582FAD" w:rsidRPr="00582FAD">
        <w:rPr>
          <w:lang w:val="en-US"/>
        </w:rPr>
        <w:t>gaps in the expertise</w:t>
      </w:r>
      <w:r w:rsidR="00582FAD">
        <w:rPr>
          <w:lang w:val="en-US"/>
        </w:rPr>
        <w:t xml:space="preserve"> and knowledge, and collected answers were attached</w:t>
      </w:r>
      <w:bookmarkEnd w:id="0"/>
      <w:r w:rsidR="00582FAD">
        <w:rPr>
          <w:lang w:val="en-US"/>
        </w:rPr>
        <w:t xml:space="preserve">. </w:t>
      </w:r>
    </w:p>
    <w:p w14:paraId="0C32F3A5" w14:textId="59222D80" w:rsidR="00582FAD" w:rsidRDefault="00602E01" w:rsidP="00B5348F">
      <w:pPr>
        <w:jc w:val="both"/>
        <w:rPr>
          <w:lang w:val="en-US"/>
        </w:rPr>
      </w:pPr>
      <w:r>
        <w:rPr>
          <w:b/>
          <w:bCs/>
          <w:noProof/>
          <w:sz w:val="36"/>
          <w:szCs w:val="36"/>
        </w:rPr>
        <w:drawing>
          <wp:inline distT="0" distB="0" distL="0" distR="0" wp14:anchorId="0189E4C9" wp14:editId="221AA719">
            <wp:extent cx="5759450" cy="3234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3234690"/>
                    </a:xfrm>
                    <a:prstGeom prst="rect">
                      <a:avLst/>
                    </a:prstGeom>
                    <a:noFill/>
                    <a:ln>
                      <a:noFill/>
                    </a:ln>
                  </pic:spPr>
                </pic:pic>
              </a:graphicData>
            </a:graphic>
          </wp:inline>
        </w:drawing>
      </w:r>
    </w:p>
    <w:p w14:paraId="0F385CFF" w14:textId="77777777" w:rsidR="00602E01" w:rsidRPr="00582FAD" w:rsidRDefault="00602E01" w:rsidP="00B5348F">
      <w:pPr>
        <w:jc w:val="both"/>
        <w:rPr>
          <w:lang w:val="en-US"/>
        </w:rPr>
      </w:pPr>
    </w:p>
    <w:sectPr w:rsidR="00602E01" w:rsidRPr="00582FAD" w:rsidSect="00AE168D">
      <w:headerReference w:type="default" r:id="rId8"/>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6FD2" w14:textId="77777777" w:rsidR="005A70BA" w:rsidRDefault="005A70BA" w:rsidP="00887895">
      <w:pPr>
        <w:spacing w:line="240" w:lineRule="auto"/>
      </w:pPr>
      <w:r>
        <w:separator/>
      </w:r>
    </w:p>
  </w:endnote>
  <w:endnote w:type="continuationSeparator" w:id="0">
    <w:p w14:paraId="63A7E95E" w14:textId="77777777" w:rsidR="005A70BA" w:rsidRDefault="005A70BA" w:rsidP="00887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F984" w14:textId="77777777" w:rsidR="005A70BA" w:rsidRDefault="005A70BA" w:rsidP="00887895">
      <w:pPr>
        <w:spacing w:line="240" w:lineRule="auto"/>
      </w:pPr>
      <w:r>
        <w:separator/>
      </w:r>
    </w:p>
  </w:footnote>
  <w:footnote w:type="continuationSeparator" w:id="0">
    <w:p w14:paraId="75802084" w14:textId="77777777" w:rsidR="005A70BA" w:rsidRDefault="005A70BA" w:rsidP="008878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5DF2" w14:textId="159B5A8C" w:rsidR="00887895" w:rsidRDefault="00887895">
    <w:pPr>
      <w:pStyle w:val="Header"/>
    </w:pPr>
    <w:r>
      <w:rPr>
        <w:noProof/>
      </w:rPr>
      <w:drawing>
        <wp:inline distT="0" distB="0" distL="0" distR="0" wp14:anchorId="57460CA0" wp14:editId="3D08CC88">
          <wp:extent cx="5759450"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3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170E"/>
    <w:multiLevelType w:val="hybridMultilevel"/>
    <w:tmpl w:val="1700D69E"/>
    <w:lvl w:ilvl="0" w:tplc="F22069C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E2C73"/>
    <w:multiLevelType w:val="hybridMultilevel"/>
    <w:tmpl w:val="C7D84C2E"/>
    <w:lvl w:ilvl="0" w:tplc="B99C336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C288D"/>
    <w:multiLevelType w:val="hybridMultilevel"/>
    <w:tmpl w:val="ABAEB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624A5"/>
    <w:multiLevelType w:val="hybridMultilevel"/>
    <w:tmpl w:val="875665DC"/>
    <w:lvl w:ilvl="0" w:tplc="78908A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40040"/>
    <w:multiLevelType w:val="hybridMultilevel"/>
    <w:tmpl w:val="8C4A7200"/>
    <w:lvl w:ilvl="0" w:tplc="D3E69B4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2002B"/>
    <w:multiLevelType w:val="hybridMultilevel"/>
    <w:tmpl w:val="ABAEB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0618232">
    <w:abstractNumId w:val="2"/>
  </w:num>
  <w:num w:numId="2" w16cid:durableId="484199051">
    <w:abstractNumId w:val="5"/>
  </w:num>
  <w:num w:numId="3" w16cid:durableId="1565798310">
    <w:abstractNumId w:val="4"/>
  </w:num>
  <w:num w:numId="4" w16cid:durableId="500508432">
    <w:abstractNumId w:val="0"/>
  </w:num>
  <w:num w:numId="5" w16cid:durableId="581523588">
    <w:abstractNumId w:val="1"/>
  </w:num>
  <w:num w:numId="6" w16cid:durableId="2027709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8F"/>
    <w:rsid w:val="00021C86"/>
    <w:rsid w:val="00044111"/>
    <w:rsid w:val="000F7550"/>
    <w:rsid w:val="001E3D0A"/>
    <w:rsid w:val="001F2DE0"/>
    <w:rsid w:val="002264E9"/>
    <w:rsid w:val="00226D13"/>
    <w:rsid w:val="002924C3"/>
    <w:rsid w:val="00357AF0"/>
    <w:rsid w:val="00480579"/>
    <w:rsid w:val="0052501A"/>
    <w:rsid w:val="00582FAD"/>
    <w:rsid w:val="005A70BA"/>
    <w:rsid w:val="005E67AD"/>
    <w:rsid w:val="00602E01"/>
    <w:rsid w:val="00603E0D"/>
    <w:rsid w:val="00672BC2"/>
    <w:rsid w:val="0069288D"/>
    <w:rsid w:val="006A1E57"/>
    <w:rsid w:val="00701B68"/>
    <w:rsid w:val="0071521E"/>
    <w:rsid w:val="00765E7B"/>
    <w:rsid w:val="007E315F"/>
    <w:rsid w:val="00887895"/>
    <w:rsid w:val="00887994"/>
    <w:rsid w:val="009C4B0F"/>
    <w:rsid w:val="00A12C32"/>
    <w:rsid w:val="00A30910"/>
    <w:rsid w:val="00A50B65"/>
    <w:rsid w:val="00A73432"/>
    <w:rsid w:val="00AE168D"/>
    <w:rsid w:val="00B5348F"/>
    <w:rsid w:val="00BF47A8"/>
    <w:rsid w:val="00C52F40"/>
    <w:rsid w:val="00D36020"/>
    <w:rsid w:val="00D66052"/>
    <w:rsid w:val="00D73079"/>
    <w:rsid w:val="00DE42DC"/>
    <w:rsid w:val="00E019F7"/>
    <w:rsid w:val="00FF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A34C"/>
  <w15:chartTrackingRefBased/>
  <w15:docId w15:val="{983AFE5E-A85F-4AAC-B375-B29E047B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n-MN"/>
    </w:rPr>
  </w:style>
  <w:style w:type="paragraph" w:styleId="Heading2">
    <w:name w:val="heading 2"/>
    <w:basedOn w:val="Normal"/>
    <w:next w:val="Normal"/>
    <w:link w:val="Heading2Char"/>
    <w:uiPriority w:val="9"/>
    <w:unhideWhenUsed/>
    <w:qFormat/>
    <w:rsid w:val="0088789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E7B"/>
    <w:pPr>
      <w:ind w:left="720"/>
      <w:contextualSpacing/>
    </w:pPr>
  </w:style>
  <w:style w:type="table" w:styleId="TableGrid">
    <w:name w:val="Table Grid"/>
    <w:basedOn w:val="TableNormal"/>
    <w:uiPriority w:val="39"/>
    <w:rsid w:val="00FF0E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895"/>
    <w:pPr>
      <w:tabs>
        <w:tab w:val="center" w:pos="4680"/>
        <w:tab w:val="right" w:pos="9360"/>
      </w:tabs>
      <w:spacing w:line="240" w:lineRule="auto"/>
    </w:pPr>
  </w:style>
  <w:style w:type="character" w:customStyle="1" w:styleId="HeaderChar">
    <w:name w:val="Header Char"/>
    <w:basedOn w:val="DefaultParagraphFont"/>
    <w:link w:val="Header"/>
    <w:uiPriority w:val="99"/>
    <w:rsid w:val="00887895"/>
    <w:rPr>
      <w:lang w:val="mn-MN"/>
    </w:rPr>
  </w:style>
  <w:style w:type="paragraph" w:styleId="Footer">
    <w:name w:val="footer"/>
    <w:basedOn w:val="Normal"/>
    <w:link w:val="FooterChar"/>
    <w:uiPriority w:val="99"/>
    <w:unhideWhenUsed/>
    <w:rsid w:val="00887895"/>
    <w:pPr>
      <w:tabs>
        <w:tab w:val="center" w:pos="4680"/>
        <w:tab w:val="right" w:pos="9360"/>
      </w:tabs>
      <w:spacing w:line="240" w:lineRule="auto"/>
    </w:pPr>
  </w:style>
  <w:style w:type="character" w:customStyle="1" w:styleId="FooterChar">
    <w:name w:val="Footer Char"/>
    <w:basedOn w:val="DefaultParagraphFont"/>
    <w:link w:val="Footer"/>
    <w:uiPriority w:val="99"/>
    <w:rsid w:val="00887895"/>
    <w:rPr>
      <w:lang w:val="mn-MN"/>
    </w:rPr>
  </w:style>
  <w:style w:type="character" w:customStyle="1" w:styleId="Heading2Char">
    <w:name w:val="Heading 2 Char"/>
    <w:basedOn w:val="DefaultParagraphFont"/>
    <w:link w:val="Heading2"/>
    <w:uiPriority w:val="9"/>
    <w:rsid w:val="0088789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87895"/>
    <w:pPr>
      <w:spacing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8789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Altansukh Ochir</dc:creator>
  <cp:keywords/>
  <dc:description/>
  <cp:lastModifiedBy>Altansukh Ochir</cp:lastModifiedBy>
  <cp:revision>27</cp:revision>
  <dcterms:created xsi:type="dcterms:W3CDTF">2022-04-26T07:06:00Z</dcterms:created>
  <dcterms:modified xsi:type="dcterms:W3CDTF">2022-05-16T13:46:00Z</dcterms:modified>
</cp:coreProperties>
</file>